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61FE" w:rsidRDefault="00E82280" w:rsidP="00E82280">
      <w:pPr>
        <w:jc w:val="center"/>
      </w:pPr>
      <w:r>
        <w:rPr>
          <w:noProof/>
        </w:rPr>
        <w:drawing>
          <wp:inline distT="0" distB="0" distL="0" distR="0" wp14:anchorId="60A21871" wp14:editId="459091D3">
            <wp:extent cx="6496050" cy="93925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41224" cy="9457885"/>
                    </a:xfrm>
                    <a:prstGeom prst="rect">
                      <a:avLst/>
                    </a:prstGeom>
                  </pic:spPr>
                </pic:pic>
              </a:graphicData>
            </a:graphic>
          </wp:inline>
        </w:drawing>
      </w:r>
    </w:p>
    <w:p w:rsidR="007D05E8" w:rsidRPr="006361FE" w:rsidRDefault="00E82280" w:rsidP="006361FE">
      <w:r>
        <w:rPr>
          <w:noProof/>
        </w:rPr>
        <mc:AlternateContent>
          <mc:Choice Requires="wps">
            <w:drawing>
              <wp:anchor distT="0" distB="0" distL="114300" distR="114300" simplePos="0" relativeHeight="251659264" behindDoc="0" locked="0" layoutInCell="1" allowOverlap="1" wp14:anchorId="56371F45" wp14:editId="1BB78F2F">
                <wp:simplePos x="0" y="0"/>
                <wp:positionH relativeFrom="column">
                  <wp:posOffset>1219200</wp:posOffset>
                </wp:positionH>
                <wp:positionV relativeFrom="paragraph">
                  <wp:posOffset>161925</wp:posOffset>
                </wp:positionV>
                <wp:extent cx="4295775" cy="9906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295775" cy="990600"/>
                        </a:xfrm>
                        <a:prstGeom prst="rect">
                          <a:avLst/>
                        </a:prstGeom>
                        <a:solidFill>
                          <a:schemeClr val="lt1"/>
                        </a:solidFill>
                        <a:ln w="6350">
                          <a:solidFill>
                            <a:prstClr val="black"/>
                          </a:solidFill>
                        </a:ln>
                      </wps:spPr>
                      <wps:txbx>
                        <w:txbxContent>
                          <w:p w:rsidR="001C6451" w:rsidRPr="00E82280" w:rsidRDefault="001C6451" w:rsidP="00E82280">
                            <w:pPr>
                              <w:jc w:val="both"/>
                              <w:rPr>
                                <w:sz w:val="24"/>
                                <w:szCs w:val="24"/>
                              </w:rPr>
                            </w:pPr>
                            <w:r w:rsidRPr="00E82280">
                              <w:rPr>
                                <w:sz w:val="24"/>
                                <w:szCs w:val="24"/>
                              </w:rPr>
                              <w:t xml:space="preserve">Our Mission is </w:t>
                            </w:r>
                            <w:r>
                              <w:rPr>
                                <w:sz w:val="24"/>
                                <w:szCs w:val="24"/>
                              </w:rPr>
                              <w:t>t</w:t>
                            </w:r>
                            <w:r w:rsidRPr="00E82280">
                              <w:rPr>
                                <w:sz w:val="24"/>
                                <w:szCs w:val="24"/>
                              </w:rPr>
                              <w:t>o stimulate a focusing of all available resources upon the goal of enabling area low-income families and individuals of all ages to attain skills, knowledge, and motivations, and secure the opportunities needed for them to become self-sufficient.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71F45" id="_x0000_t202" coordsize="21600,21600" o:spt="202" path="m,l,21600r21600,l21600,xe">
                <v:stroke joinstyle="miter"/>
                <v:path gradientshapeok="t" o:connecttype="rect"/>
              </v:shapetype>
              <v:shape id="Text Box 3" o:spid="_x0000_s1026" type="#_x0000_t202" style="position:absolute;margin-left:96pt;margin-top:12.75pt;width:338.2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" fillcolor="white [3201]" strokeweight=".5pt">
                <v:textbox>
                  <w:txbxContent>
                    <w:p w:rsidR="001C6451" w:rsidRPr="00E82280" w:rsidRDefault="001C6451" w:rsidP="00E82280">
                      <w:pPr>
                        <w:jc w:val="both"/>
                        <w:rPr>
                          <w:sz w:val="24"/>
                          <w:szCs w:val="24"/>
                        </w:rPr>
                      </w:pPr>
                      <w:r w:rsidRPr="00E82280">
                        <w:rPr>
                          <w:sz w:val="24"/>
                          <w:szCs w:val="24"/>
                        </w:rPr>
                        <w:t xml:space="preserve">Our Mission is </w:t>
                      </w:r>
                      <w:r>
                        <w:rPr>
                          <w:sz w:val="24"/>
                          <w:szCs w:val="24"/>
                        </w:rPr>
                        <w:t>t</w:t>
                      </w:r>
                      <w:r w:rsidRPr="00E82280">
                        <w:rPr>
                          <w:sz w:val="24"/>
                          <w:szCs w:val="24"/>
                        </w:rPr>
                        <w:t>o stimulate a focusing of all available resources upon the goal of enabling area low-income families and individuals of all ages to attain skills, knowledge, and motivations, and secure the opportunities needed for them to become self-sufficient.</w:t>
                      </w:r>
                    </w:p>
                  </w:txbxContent>
                </v:textbox>
              </v:shape>
            </w:pict>
          </mc:Fallback>
        </mc:AlternateContent>
      </w:r>
      <w:r>
        <w:rPr>
          <w:noProof/>
        </w:rPr>
        <w:drawing>
          <wp:inline distT="0" distB="0" distL="0" distR="0" wp14:anchorId="6BFCADE0" wp14:editId="57A7663B">
            <wp:extent cx="1288637" cy="1319959"/>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7406" cy="1359670"/>
                    </a:xfrm>
                    <a:prstGeom prst="rect">
                      <a:avLst/>
                    </a:prstGeom>
                    <a:noFill/>
                  </pic:spPr>
                </pic:pic>
              </a:graphicData>
            </a:graphic>
          </wp:inline>
        </w:drawing>
      </w:r>
      <w:r w:rsidR="007E0908">
        <w:t xml:space="preserve">                                                                      </w:t>
      </w:r>
      <w:r w:rsidR="00A07D18">
        <w:tab/>
      </w:r>
      <w:r w:rsidR="007E0908">
        <w:t xml:space="preserve">                                                      </w:t>
      </w:r>
      <w:r w:rsidR="004B718B">
        <w:t xml:space="preserve">      </w:t>
      </w:r>
      <w:r w:rsidR="007E0908">
        <w:t xml:space="preserve">   </w:t>
      </w:r>
      <w:r w:rsidR="00075E5F">
        <w:rPr>
          <w:noProof/>
        </w:rPr>
        <w:drawing>
          <wp:inline distT="0" distB="0" distL="0" distR="0" wp14:anchorId="4C09C903" wp14:editId="2E71614A">
            <wp:extent cx="930857" cy="116958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409" cy="1180327"/>
                    </a:xfrm>
                    <a:prstGeom prst="rect">
                      <a:avLst/>
                    </a:prstGeom>
                    <a:noFill/>
                  </pic:spPr>
                </pic:pic>
              </a:graphicData>
            </a:graphic>
          </wp:inline>
        </w:drawing>
      </w:r>
    </w:p>
    <w:p w:rsidR="00A07D18" w:rsidRDefault="00A07D18" w:rsidP="004B718B">
      <w:pPr>
        <w:spacing w:after="0"/>
        <w:jc w:val="center"/>
        <w:rPr>
          <w:b/>
          <w:color w:val="1589C2"/>
          <w:sz w:val="36"/>
          <w:szCs w:val="36"/>
        </w:rPr>
      </w:pPr>
      <w:r>
        <w:rPr>
          <w:b/>
          <w:color w:val="1589C2"/>
          <w:sz w:val="36"/>
          <w:szCs w:val="36"/>
        </w:rPr>
        <w:t>Annual Report 2022-2023</w:t>
      </w:r>
    </w:p>
    <w:p w:rsidR="001C6451" w:rsidRDefault="001C6451" w:rsidP="004B718B">
      <w:pPr>
        <w:spacing w:after="0"/>
        <w:jc w:val="center"/>
        <w:rPr>
          <w:b/>
          <w:color w:val="1589C2"/>
          <w:sz w:val="36"/>
          <w:szCs w:val="36"/>
        </w:rPr>
      </w:pPr>
      <w:r w:rsidRPr="006361FE">
        <w:rPr>
          <w:b/>
          <w:color w:val="1589C2"/>
          <w:sz w:val="36"/>
          <w:szCs w:val="36"/>
        </w:rPr>
        <w:t xml:space="preserve">Head Start </w:t>
      </w:r>
      <w:r>
        <w:rPr>
          <w:b/>
          <w:color w:val="1589C2"/>
          <w:sz w:val="36"/>
          <w:szCs w:val="36"/>
        </w:rPr>
        <w:t>serving families p</w:t>
      </w:r>
      <w:r w:rsidRPr="006361FE">
        <w:rPr>
          <w:b/>
          <w:color w:val="1589C2"/>
          <w:sz w:val="36"/>
          <w:szCs w:val="36"/>
        </w:rPr>
        <w:t>renatal to</w:t>
      </w:r>
      <w:r>
        <w:rPr>
          <w:b/>
          <w:color w:val="1589C2"/>
          <w:sz w:val="36"/>
          <w:szCs w:val="36"/>
        </w:rPr>
        <w:t xml:space="preserve"> age</w:t>
      </w:r>
      <w:r w:rsidRPr="006361FE">
        <w:rPr>
          <w:b/>
          <w:color w:val="1589C2"/>
          <w:sz w:val="36"/>
          <w:szCs w:val="36"/>
        </w:rPr>
        <w:t xml:space="preserve"> </w:t>
      </w:r>
      <w:r>
        <w:rPr>
          <w:b/>
          <w:color w:val="1589C2"/>
          <w:sz w:val="36"/>
          <w:szCs w:val="36"/>
        </w:rPr>
        <w:t>f</w:t>
      </w:r>
      <w:r w:rsidRPr="006361FE">
        <w:rPr>
          <w:b/>
          <w:color w:val="1589C2"/>
          <w:sz w:val="36"/>
          <w:szCs w:val="36"/>
        </w:rPr>
        <w:t>ive</w:t>
      </w:r>
    </w:p>
    <w:p w:rsidR="00E90D16" w:rsidRDefault="006361FE" w:rsidP="004B718B">
      <w:pPr>
        <w:spacing w:after="0"/>
        <w:jc w:val="center"/>
        <w:rPr>
          <w:b/>
          <w:color w:val="1589C2"/>
          <w:sz w:val="36"/>
          <w:szCs w:val="36"/>
        </w:rPr>
      </w:pPr>
      <w:r>
        <w:rPr>
          <w:b/>
          <w:noProof/>
          <w:color w:val="1589C2"/>
          <w:sz w:val="36"/>
          <w:szCs w:val="36"/>
        </w:rPr>
        <w:drawing>
          <wp:inline distT="0" distB="0" distL="0" distR="0" wp14:anchorId="4EAE2E9F" wp14:editId="0B3F6255">
            <wp:extent cx="5294670" cy="2217268"/>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2328" cy="2228851"/>
                    </a:xfrm>
                    <a:prstGeom prst="rect">
                      <a:avLst/>
                    </a:prstGeom>
                    <a:noFill/>
                  </pic:spPr>
                </pic:pic>
              </a:graphicData>
            </a:graphic>
          </wp:inline>
        </w:drawing>
      </w:r>
    </w:p>
    <w:p w:rsidR="004B718B" w:rsidRPr="004B718B" w:rsidRDefault="004B718B" w:rsidP="00E84D96">
      <w:pPr>
        <w:spacing w:after="0"/>
        <w:rPr>
          <w:b/>
          <w:color w:val="1589C2"/>
          <w:sz w:val="36"/>
          <w:szCs w:val="36"/>
        </w:rPr>
      </w:pPr>
    </w:p>
    <w:p w:rsidR="00E90D16" w:rsidRPr="00A80284" w:rsidRDefault="00E90D16" w:rsidP="00A80284">
      <w:pPr>
        <w:spacing w:after="0"/>
        <w:jc w:val="both"/>
        <w:rPr>
          <w:rFonts w:cstheme="minorHAnsi"/>
          <w:sz w:val="24"/>
          <w:szCs w:val="24"/>
        </w:rPr>
      </w:pPr>
      <w:r w:rsidRPr="00A80284">
        <w:rPr>
          <w:rFonts w:cstheme="minorHAnsi"/>
          <w:sz w:val="24"/>
          <w:szCs w:val="24"/>
        </w:rPr>
        <w:t xml:space="preserve">Northwest Community Action (NWCA) provides comprehensive Head Start services to 240 children and their families in our four-county service area: Lake of the Woods, Roseau, Marshall and Kittson county.  A total of </w:t>
      </w:r>
      <w:r w:rsidRPr="00A80284">
        <w:rPr>
          <w:rFonts w:cstheme="minorHAnsi"/>
          <w:sz w:val="24"/>
          <w:szCs w:val="24"/>
        </w:rPr>
        <w:softHyphen/>
      </w:r>
      <w:r w:rsidRPr="00A80284">
        <w:rPr>
          <w:rFonts w:cstheme="minorHAnsi"/>
          <w:sz w:val="24"/>
          <w:szCs w:val="24"/>
        </w:rPr>
        <w:softHyphen/>
      </w:r>
      <w:r w:rsidRPr="00A80284">
        <w:rPr>
          <w:rFonts w:cstheme="minorHAnsi"/>
          <w:sz w:val="24"/>
          <w:szCs w:val="24"/>
        </w:rPr>
        <w:softHyphen/>
      </w:r>
      <w:r w:rsidRPr="00A80284">
        <w:rPr>
          <w:rFonts w:cstheme="minorHAnsi"/>
          <w:sz w:val="24"/>
          <w:szCs w:val="24"/>
        </w:rPr>
        <w:softHyphen/>
      </w:r>
      <w:r w:rsidRPr="00A80284">
        <w:rPr>
          <w:rFonts w:cstheme="minorHAnsi"/>
          <w:sz w:val="24"/>
          <w:szCs w:val="24"/>
        </w:rPr>
        <w:softHyphen/>
      </w:r>
      <w:r w:rsidRPr="00A80284">
        <w:rPr>
          <w:rFonts w:cstheme="minorHAnsi"/>
          <w:sz w:val="24"/>
          <w:szCs w:val="24"/>
        </w:rPr>
        <w:softHyphen/>
      </w:r>
      <w:r w:rsidRPr="00A80284">
        <w:rPr>
          <w:rFonts w:cstheme="minorHAnsi"/>
          <w:sz w:val="24"/>
          <w:szCs w:val="24"/>
        </w:rPr>
        <w:softHyphen/>
      </w:r>
      <w:r w:rsidRPr="00A80284">
        <w:rPr>
          <w:rFonts w:cstheme="minorHAnsi"/>
          <w:sz w:val="24"/>
          <w:szCs w:val="24"/>
        </w:rPr>
        <w:softHyphen/>
      </w:r>
      <w:r w:rsidRPr="00A80284">
        <w:rPr>
          <w:rFonts w:cstheme="minorHAnsi"/>
          <w:sz w:val="24"/>
          <w:szCs w:val="24"/>
        </w:rPr>
        <w:softHyphen/>
      </w:r>
      <w:r w:rsidRPr="00A80284">
        <w:rPr>
          <w:rFonts w:cstheme="minorHAnsi"/>
          <w:sz w:val="24"/>
          <w:szCs w:val="24"/>
        </w:rPr>
        <w:softHyphen/>
      </w:r>
      <w:r w:rsidRPr="00A80284">
        <w:rPr>
          <w:rFonts w:cstheme="minorHAnsi"/>
          <w:sz w:val="24"/>
          <w:szCs w:val="24"/>
        </w:rPr>
        <w:softHyphen/>
        <w:t>155 families were served, including children with special needs and those needing individualized series.  These services were provided in collaboration with their school districts.  Head Start services include home visits and centers located in area schools providing nutritious breakfast, lunch and snacks.  Additional services include medical screenings done with each county’s nursing service, oral health screenings, and follow-up work. Head Start may help with payment if the child is not covered by MA, MN Care, or other private insurance.</w:t>
      </w:r>
    </w:p>
    <w:p w:rsidR="004929DF" w:rsidRPr="00A80284" w:rsidRDefault="00E90D16" w:rsidP="00A80284">
      <w:pPr>
        <w:spacing w:after="0" w:line="312" w:lineRule="auto"/>
        <w:jc w:val="both"/>
        <w:rPr>
          <w:rFonts w:cstheme="minorHAnsi"/>
          <w:sz w:val="24"/>
          <w:szCs w:val="24"/>
        </w:rPr>
      </w:pPr>
      <w:r w:rsidRPr="00A80284">
        <w:rPr>
          <w:rFonts w:cstheme="minorHAnsi"/>
          <w:sz w:val="24"/>
          <w:szCs w:val="24"/>
        </w:rPr>
        <w:t xml:space="preserve">NWCA Head Start and Early Head Start promote parents as their child’s first, and most important teacher. Head Start parents have many opportunities to participate in educational activities in their individual service area. Parents participated in Policy Council both in person and virtually, attended local parent meetings, and worked with a teacher and their child on home visits. Additionally, conferences and home visits are held with each family throughout the year.  </w:t>
      </w:r>
    </w:p>
    <w:p w:rsidR="004B718B" w:rsidRPr="00A80284" w:rsidRDefault="004B718B" w:rsidP="00A80284">
      <w:pPr>
        <w:spacing w:after="0"/>
        <w:jc w:val="center"/>
        <w:rPr>
          <w:rFonts w:cstheme="minorHAnsi"/>
          <w:b/>
          <w:color w:val="1589C2"/>
          <w:sz w:val="36"/>
          <w:szCs w:val="36"/>
        </w:rPr>
      </w:pPr>
      <w:r w:rsidRPr="00A80284">
        <w:rPr>
          <w:rFonts w:cstheme="minorHAnsi"/>
          <w:b/>
          <w:color w:val="1589C2"/>
          <w:sz w:val="36"/>
          <w:szCs w:val="36"/>
        </w:rPr>
        <w:t>Five Year Program Goals</w:t>
      </w:r>
    </w:p>
    <w:p w:rsidR="004B718B" w:rsidRPr="004F4D24" w:rsidRDefault="004B718B" w:rsidP="004F4D24">
      <w:pPr>
        <w:pStyle w:val="ListParagraph"/>
        <w:numPr>
          <w:ilvl w:val="0"/>
          <w:numId w:val="1"/>
        </w:numPr>
        <w:spacing w:after="0"/>
        <w:jc w:val="both"/>
        <w:rPr>
          <w:rFonts w:eastAsia="Times New Roman" w:cstheme="minorHAnsi"/>
          <w:color w:val="000000" w:themeColor="text1"/>
          <w:sz w:val="24"/>
          <w:szCs w:val="24"/>
        </w:rPr>
      </w:pPr>
      <w:r w:rsidRPr="00A80284">
        <w:rPr>
          <w:rFonts w:eastAsia="Times New Roman" w:cstheme="minorHAnsi"/>
          <w:color w:val="000000" w:themeColor="text1"/>
          <w:sz w:val="24"/>
          <w:szCs w:val="24"/>
        </w:rPr>
        <w:t xml:space="preserve">Northwest Community Action, Inc. (NWCA) Head Start supports children and families to develop skills to enhance their nutrition, health and well-being. </w:t>
      </w:r>
    </w:p>
    <w:p w:rsidR="004B718B" w:rsidRPr="004F4D24" w:rsidRDefault="004B718B" w:rsidP="004F4D24">
      <w:pPr>
        <w:pStyle w:val="ListParagraph"/>
        <w:numPr>
          <w:ilvl w:val="0"/>
          <w:numId w:val="1"/>
        </w:numPr>
        <w:spacing w:after="0"/>
        <w:jc w:val="both"/>
        <w:rPr>
          <w:rFonts w:eastAsia="Times New Roman" w:cstheme="minorHAnsi"/>
          <w:color w:val="000000" w:themeColor="text1"/>
          <w:sz w:val="24"/>
          <w:szCs w:val="24"/>
        </w:rPr>
      </w:pPr>
      <w:r w:rsidRPr="00A80284">
        <w:rPr>
          <w:rFonts w:eastAsia="Times New Roman" w:cstheme="minorHAnsi"/>
          <w:color w:val="000000" w:themeColor="text1"/>
          <w:sz w:val="24"/>
          <w:szCs w:val="24"/>
        </w:rPr>
        <w:t xml:space="preserve">NWCA Head Start will support parents as lifetime learners and educators. </w:t>
      </w:r>
    </w:p>
    <w:p w:rsidR="004B718B" w:rsidRPr="00A80284" w:rsidRDefault="004B718B" w:rsidP="00A80284">
      <w:pPr>
        <w:pStyle w:val="ListParagraph"/>
        <w:numPr>
          <w:ilvl w:val="0"/>
          <w:numId w:val="1"/>
        </w:numPr>
        <w:spacing w:after="0"/>
        <w:jc w:val="both"/>
        <w:rPr>
          <w:rFonts w:eastAsia="Times New Roman" w:cstheme="minorHAnsi"/>
          <w:sz w:val="24"/>
          <w:szCs w:val="24"/>
        </w:rPr>
      </w:pPr>
      <w:r w:rsidRPr="00A80284">
        <w:rPr>
          <w:rFonts w:eastAsia="Times New Roman" w:cstheme="minorHAnsi"/>
          <w:sz w:val="24"/>
          <w:szCs w:val="24"/>
        </w:rPr>
        <w:t>Children enrolled in NWCA Head Start will gain skills needed to transition successfully to their next developmentally appropriate stage.</w:t>
      </w:r>
    </w:p>
    <w:p w:rsidR="004B718B" w:rsidRPr="00A80284" w:rsidRDefault="004B718B" w:rsidP="00A80284">
      <w:pPr>
        <w:spacing w:after="0" w:line="312" w:lineRule="auto"/>
        <w:jc w:val="both"/>
        <w:rPr>
          <w:rFonts w:cstheme="minorHAnsi"/>
          <w:sz w:val="24"/>
          <w:szCs w:val="24"/>
        </w:rPr>
      </w:pPr>
    </w:p>
    <w:p w:rsidR="006361FE" w:rsidRPr="00A80284" w:rsidRDefault="006361FE" w:rsidP="00A80284">
      <w:pPr>
        <w:spacing w:after="0"/>
        <w:jc w:val="center"/>
        <w:rPr>
          <w:rFonts w:cstheme="minorHAnsi"/>
          <w:b/>
          <w:color w:val="1589C2"/>
          <w:sz w:val="24"/>
          <w:szCs w:val="24"/>
        </w:rPr>
      </w:pPr>
      <w:r w:rsidRPr="00A80284">
        <w:rPr>
          <w:rFonts w:cstheme="minorHAnsi"/>
          <w:noProof/>
          <w:sz w:val="24"/>
          <w:szCs w:val="24"/>
        </w:rPr>
        <w:drawing>
          <wp:inline distT="0" distB="0" distL="0" distR="0" wp14:anchorId="19ABFED1" wp14:editId="765B6AA5">
            <wp:extent cx="4661295" cy="2626242"/>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1295" cy="2626242"/>
                    </a:xfrm>
                    <a:prstGeom prst="rect">
                      <a:avLst/>
                    </a:prstGeom>
                    <a:noFill/>
                    <a:ln>
                      <a:noFill/>
                    </a:ln>
                  </pic:spPr>
                </pic:pic>
              </a:graphicData>
            </a:graphic>
          </wp:inline>
        </w:drawing>
      </w:r>
    </w:p>
    <w:p w:rsidR="004B718B" w:rsidRPr="00A80284" w:rsidRDefault="004B718B" w:rsidP="00A80284">
      <w:pPr>
        <w:pStyle w:val="Grant"/>
        <w:spacing w:line="360" w:lineRule="auto"/>
        <w:jc w:val="both"/>
        <w:rPr>
          <w:rFonts w:asciiTheme="minorHAnsi" w:eastAsiaTheme="minorHAnsi" w:hAnsiTheme="minorHAnsi" w:cstheme="minorHAnsi"/>
          <w:szCs w:val="24"/>
        </w:rPr>
      </w:pPr>
      <w:r w:rsidRPr="00A80284">
        <w:rPr>
          <w:rFonts w:asciiTheme="minorHAnsi" w:eastAsiaTheme="minorHAnsi" w:hAnsiTheme="minorHAnsi" w:cstheme="minorHAnsi"/>
          <w:szCs w:val="24"/>
        </w:rPr>
        <w:t xml:space="preserve">Northwest Community Action, Inc. continues to provide Head Start services to families in Marshall, Roseau, Kittson, and Lake of the Woods counties in the Northwestern corner of Minnesota.  Our service area is bounded on the west by North Dakota and on the north by Manitoba and Ontario.  This service area covers 6,500 square miles, in which over 32,000 people reside. The communities’ range in size from 50 to 2600 people. Our entire service area is designated Medically Underserved, and 2 of our classrooms are located in areas of less than 1,000 individuals, and 50 percent of the families are eligible due to income guidelines.  </w:t>
      </w:r>
    </w:p>
    <w:p w:rsidR="00476D78" w:rsidRPr="00A80284" w:rsidRDefault="00476D78" w:rsidP="00A80284">
      <w:pPr>
        <w:spacing w:after="0"/>
        <w:jc w:val="center"/>
        <w:rPr>
          <w:rFonts w:cstheme="minorHAnsi"/>
          <w:b/>
          <w:color w:val="1589C2"/>
          <w:sz w:val="36"/>
          <w:szCs w:val="36"/>
        </w:rPr>
      </w:pPr>
      <w:r w:rsidRPr="00A80284">
        <w:rPr>
          <w:rFonts w:cstheme="minorHAnsi"/>
          <w:b/>
          <w:color w:val="1589C2"/>
          <w:sz w:val="36"/>
          <w:szCs w:val="36"/>
        </w:rPr>
        <w:t>Policy Council</w:t>
      </w:r>
    </w:p>
    <w:p w:rsidR="00476D78" w:rsidRPr="00A80284" w:rsidRDefault="00476D78" w:rsidP="00A80284">
      <w:pPr>
        <w:pStyle w:val="BodyText"/>
        <w:spacing w:line="288" w:lineRule="auto"/>
        <w:jc w:val="both"/>
        <w:rPr>
          <w:rFonts w:asciiTheme="minorHAnsi" w:hAnsiTheme="minorHAnsi" w:cstheme="minorHAnsi"/>
        </w:rPr>
      </w:pPr>
      <w:r w:rsidRPr="00A80284">
        <w:rPr>
          <w:rFonts w:asciiTheme="minorHAnsi" w:eastAsiaTheme="minorHAnsi" w:hAnsiTheme="minorHAnsi" w:cstheme="minorHAnsi"/>
        </w:rPr>
        <w:t>Parents are encouraged to be involved through parent committee meetings and Policy Council. Th</w:t>
      </w:r>
      <w:r w:rsidR="00AC4976" w:rsidRPr="00A80284">
        <w:rPr>
          <w:rFonts w:asciiTheme="minorHAnsi" w:eastAsiaTheme="minorHAnsi" w:hAnsiTheme="minorHAnsi" w:cstheme="minorHAnsi"/>
        </w:rPr>
        <w:t>is year’s</w:t>
      </w:r>
      <w:r w:rsidRPr="00A80284">
        <w:rPr>
          <w:rFonts w:asciiTheme="minorHAnsi" w:eastAsiaTheme="minorHAnsi" w:hAnsiTheme="minorHAnsi" w:cstheme="minorHAnsi"/>
        </w:rPr>
        <w:t xml:space="preserve"> Policy Council is made up of </w:t>
      </w:r>
      <w:r w:rsidR="00AC4976" w:rsidRPr="00A80284">
        <w:rPr>
          <w:rFonts w:asciiTheme="minorHAnsi" w:eastAsiaTheme="minorHAnsi" w:hAnsiTheme="minorHAnsi" w:cstheme="minorHAnsi"/>
        </w:rPr>
        <w:t xml:space="preserve">9 </w:t>
      </w:r>
      <w:r w:rsidRPr="00A80284">
        <w:rPr>
          <w:rFonts w:asciiTheme="minorHAnsi" w:eastAsiaTheme="minorHAnsi" w:hAnsiTheme="minorHAnsi" w:cstheme="minorHAnsi"/>
        </w:rPr>
        <w:t xml:space="preserve">Head Start and Early Head Start </w:t>
      </w:r>
      <w:r w:rsidR="00E90D16" w:rsidRPr="00A80284">
        <w:rPr>
          <w:rFonts w:asciiTheme="minorHAnsi" w:eastAsiaTheme="minorHAnsi" w:hAnsiTheme="minorHAnsi" w:cstheme="minorHAnsi"/>
        </w:rPr>
        <w:t xml:space="preserve">elected </w:t>
      </w:r>
      <w:r w:rsidRPr="00A80284">
        <w:rPr>
          <w:rFonts w:asciiTheme="minorHAnsi" w:eastAsiaTheme="minorHAnsi" w:hAnsiTheme="minorHAnsi" w:cstheme="minorHAnsi"/>
        </w:rPr>
        <w:t xml:space="preserve">parents who lead and make decisions about </w:t>
      </w:r>
      <w:r w:rsidR="00AC4976" w:rsidRPr="00A80284">
        <w:rPr>
          <w:rFonts w:asciiTheme="minorHAnsi" w:eastAsiaTheme="minorHAnsi" w:hAnsiTheme="minorHAnsi" w:cstheme="minorHAnsi"/>
        </w:rPr>
        <w:t>our</w:t>
      </w:r>
      <w:r w:rsidRPr="00A80284">
        <w:rPr>
          <w:rFonts w:asciiTheme="minorHAnsi" w:eastAsiaTheme="minorHAnsi" w:hAnsiTheme="minorHAnsi" w:cstheme="minorHAnsi"/>
        </w:rPr>
        <w:t xml:space="preserve"> program. The Policy Council participate</w:t>
      </w:r>
      <w:r w:rsidR="00E90D16" w:rsidRPr="00A80284">
        <w:rPr>
          <w:rFonts w:asciiTheme="minorHAnsi" w:eastAsiaTheme="minorHAnsi" w:hAnsiTheme="minorHAnsi" w:cstheme="minorHAnsi"/>
        </w:rPr>
        <w:t>s</w:t>
      </w:r>
      <w:r w:rsidRPr="00A80284">
        <w:rPr>
          <w:rFonts w:asciiTheme="minorHAnsi" w:eastAsiaTheme="minorHAnsi" w:hAnsiTheme="minorHAnsi" w:cstheme="minorHAnsi"/>
        </w:rPr>
        <w:t xml:space="preserve"> meetings with program management</w:t>
      </w:r>
      <w:r w:rsidR="00E90D16" w:rsidRPr="00A80284">
        <w:rPr>
          <w:rFonts w:asciiTheme="minorHAnsi" w:eastAsiaTheme="minorHAnsi" w:hAnsiTheme="minorHAnsi" w:cstheme="minorHAnsi"/>
        </w:rPr>
        <w:t xml:space="preserve"> to evaluate, provide insight, encouragement and community engagement</w:t>
      </w:r>
      <w:r w:rsidRPr="00A80284">
        <w:rPr>
          <w:rFonts w:asciiTheme="minorHAnsi" w:eastAsiaTheme="minorHAnsi" w:hAnsiTheme="minorHAnsi" w:cstheme="minorHAnsi"/>
        </w:rPr>
        <w:t xml:space="preserve">. </w:t>
      </w:r>
      <w:r w:rsidR="00E90D16" w:rsidRPr="00A80284">
        <w:rPr>
          <w:rFonts w:asciiTheme="minorHAnsi" w:eastAsiaTheme="minorHAnsi" w:hAnsiTheme="minorHAnsi" w:cstheme="minorHAnsi"/>
        </w:rPr>
        <w:t>Our Policy Council members are valuable members of our program and our gratitude for their volunteer time and talents are</w:t>
      </w:r>
      <w:r w:rsidR="00E90D16" w:rsidRPr="00A80284">
        <w:rPr>
          <w:rFonts w:asciiTheme="minorHAnsi" w:hAnsiTheme="minorHAnsi" w:cstheme="minorHAnsi"/>
        </w:rPr>
        <w:t xml:space="preserve"> appreciated.</w:t>
      </w:r>
    </w:p>
    <w:p w:rsidR="00FF63F8" w:rsidRPr="00A80284" w:rsidRDefault="00FF63F8" w:rsidP="00A80284">
      <w:pPr>
        <w:pStyle w:val="BodyText"/>
        <w:spacing w:line="288" w:lineRule="auto"/>
        <w:jc w:val="both"/>
        <w:rPr>
          <w:rFonts w:asciiTheme="minorHAnsi" w:hAnsiTheme="minorHAnsi" w:cstheme="minorHAnsi"/>
        </w:rPr>
      </w:pPr>
    </w:p>
    <w:p w:rsidR="00E8716F" w:rsidRPr="00A80284" w:rsidRDefault="00E8716F" w:rsidP="00A80284">
      <w:pPr>
        <w:spacing w:after="0"/>
        <w:jc w:val="center"/>
        <w:rPr>
          <w:rFonts w:cstheme="minorHAnsi"/>
          <w:b/>
          <w:color w:val="1589C2"/>
          <w:sz w:val="36"/>
          <w:szCs w:val="36"/>
        </w:rPr>
      </w:pPr>
      <w:r w:rsidRPr="00A80284">
        <w:rPr>
          <w:rFonts w:cstheme="minorHAnsi"/>
          <w:b/>
          <w:color w:val="1589C2"/>
          <w:sz w:val="36"/>
          <w:szCs w:val="36"/>
        </w:rPr>
        <w:t>Who we serve</w:t>
      </w:r>
    </w:p>
    <w:p w:rsidR="00504572" w:rsidRPr="00A80284" w:rsidRDefault="00F60942" w:rsidP="00A80284">
      <w:pPr>
        <w:spacing w:after="0"/>
        <w:jc w:val="center"/>
        <w:rPr>
          <w:rFonts w:cstheme="minorHAnsi"/>
          <w:b/>
          <w:color w:val="4472C4" w:themeColor="accent1"/>
          <w:sz w:val="24"/>
          <w:szCs w:val="24"/>
        </w:rPr>
      </w:pPr>
      <w:r w:rsidRPr="00A80284">
        <w:rPr>
          <w:rFonts w:cstheme="minorHAnsi"/>
          <w:noProof/>
          <w:sz w:val="24"/>
          <w:szCs w:val="24"/>
        </w:rPr>
        <w:drawing>
          <wp:inline distT="0" distB="0" distL="0" distR="0" wp14:anchorId="2C172A2A" wp14:editId="0FB9483B">
            <wp:extent cx="5028225" cy="249340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28" t="18829" r="9167" b="28696"/>
                    <a:stretch/>
                  </pic:blipFill>
                  <pic:spPr bwMode="auto">
                    <a:xfrm>
                      <a:off x="0" y="0"/>
                      <a:ext cx="5028225" cy="2493404"/>
                    </a:xfrm>
                    <a:prstGeom prst="rect">
                      <a:avLst/>
                    </a:prstGeom>
                    <a:ln>
                      <a:noFill/>
                    </a:ln>
                    <a:extLst>
                      <a:ext uri="{53640926-AAD7-44D8-BBD7-CCE9431645EC}">
                        <a14:shadowObscured xmlns:a14="http://schemas.microsoft.com/office/drawing/2010/main"/>
                      </a:ext>
                    </a:extLst>
                  </pic:spPr>
                </pic:pic>
              </a:graphicData>
            </a:graphic>
          </wp:inline>
        </w:drawing>
      </w:r>
    </w:p>
    <w:p w:rsidR="00504572" w:rsidRPr="00A80284" w:rsidRDefault="00504572" w:rsidP="00A80284">
      <w:pPr>
        <w:spacing w:after="0"/>
        <w:jc w:val="both"/>
        <w:rPr>
          <w:rFonts w:cstheme="minorHAnsi"/>
          <w:sz w:val="24"/>
          <w:szCs w:val="24"/>
        </w:rPr>
      </w:pPr>
    </w:p>
    <w:p w:rsidR="00E56858" w:rsidRDefault="00FF63F8" w:rsidP="00A80284">
      <w:pPr>
        <w:spacing w:after="0"/>
        <w:jc w:val="center"/>
        <w:rPr>
          <w:rFonts w:cstheme="minorHAnsi"/>
          <w:b/>
          <w:color w:val="4472C4" w:themeColor="accent1"/>
          <w:sz w:val="24"/>
          <w:szCs w:val="24"/>
        </w:rPr>
      </w:pPr>
      <w:r w:rsidRPr="00A80284">
        <w:rPr>
          <w:rFonts w:cstheme="minorHAnsi"/>
          <w:noProof/>
          <w:sz w:val="24"/>
          <w:szCs w:val="24"/>
        </w:rPr>
        <w:drawing>
          <wp:inline distT="0" distB="0" distL="0" distR="0" wp14:anchorId="5214B109" wp14:editId="7ED8898C">
            <wp:extent cx="4541661" cy="32099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0608" cy="3230384"/>
                    </a:xfrm>
                    <a:prstGeom prst="rect">
                      <a:avLst/>
                    </a:prstGeom>
                  </pic:spPr>
                </pic:pic>
              </a:graphicData>
            </a:graphic>
          </wp:inline>
        </w:drawing>
      </w:r>
    </w:p>
    <w:p w:rsidR="00E84D96" w:rsidRPr="00A80284" w:rsidRDefault="00E84D96" w:rsidP="00A80284">
      <w:pPr>
        <w:spacing w:after="0"/>
        <w:jc w:val="center"/>
        <w:rPr>
          <w:rFonts w:cstheme="minorHAnsi"/>
          <w:b/>
          <w:color w:val="4472C4" w:themeColor="accent1"/>
          <w:sz w:val="24"/>
          <w:szCs w:val="24"/>
        </w:rPr>
      </w:pPr>
    </w:p>
    <w:p w:rsidR="00FF63F8" w:rsidRPr="00A80284" w:rsidRDefault="00FF63F8" w:rsidP="00A80284">
      <w:pPr>
        <w:spacing w:after="0"/>
        <w:jc w:val="center"/>
        <w:rPr>
          <w:rFonts w:cstheme="minorHAnsi"/>
          <w:b/>
          <w:color w:val="1589C2"/>
          <w:sz w:val="36"/>
          <w:szCs w:val="36"/>
        </w:rPr>
      </w:pPr>
      <w:r w:rsidRPr="00A80284">
        <w:rPr>
          <w:rFonts w:cstheme="minorHAnsi"/>
          <w:b/>
          <w:color w:val="1589C2"/>
          <w:sz w:val="36"/>
          <w:szCs w:val="36"/>
        </w:rPr>
        <w:t>Fiscal</w:t>
      </w:r>
    </w:p>
    <w:p w:rsidR="00A80284" w:rsidRDefault="00552512" w:rsidP="00E84D96">
      <w:pPr>
        <w:spacing w:after="0"/>
        <w:jc w:val="both"/>
        <w:rPr>
          <w:rFonts w:cstheme="minorHAnsi"/>
          <w:sz w:val="24"/>
          <w:szCs w:val="24"/>
        </w:rPr>
      </w:pPr>
      <w:r w:rsidRPr="00A80284">
        <w:rPr>
          <w:rFonts w:cstheme="minorHAnsi"/>
          <w:sz w:val="24"/>
          <w:szCs w:val="24"/>
        </w:rPr>
        <w:t xml:space="preserve">Head Start is funded with federal, and state dollars. Our recent financial audit was completed </w:t>
      </w:r>
      <w:r w:rsidR="00ED2434" w:rsidRPr="00ED2434">
        <w:rPr>
          <w:rFonts w:cstheme="minorHAnsi"/>
          <w:sz w:val="24"/>
          <w:szCs w:val="24"/>
        </w:rPr>
        <w:t>May 2023</w:t>
      </w:r>
      <w:r w:rsidRPr="00ED2434">
        <w:rPr>
          <w:rFonts w:cstheme="minorHAnsi"/>
          <w:sz w:val="24"/>
          <w:szCs w:val="24"/>
        </w:rPr>
        <w:t>.</w:t>
      </w:r>
      <w:r w:rsidRPr="00A80284">
        <w:rPr>
          <w:rFonts w:cstheme="minorHAnsi"/>
          <w:sz w:val="24"/>
          <w:szCs w:val="24"/>
        </w:rPr>
        <w:t xml:space="preserve"> NWC</w:t>
      </w:r>
      <w:r w:rsidR="005C2577" w:rsidRPr="00A80284">
        <w:rPr>
          <w:rFonts w:cstheme="minorHAnsi"/>
          <w:sz w:val="24"/>
          <w:szCs w:val="24"/>
        </w:rPr>
        <w:t>A</w:t>
      </w:r>
      <w:r w:rsidRPr="00A80284">
        <w:rPr>
          <w:rFonts w:cstheme="minorHAnsi"/>
          <w:sz w:val="24"/>
          <w:szCs w:val="24"/>
        </w:rPr>
        <w:t xml:space="preserve"> has implemented the recommendations noted in our audit.  </w:t>
      </w:r>
    </w:p>
    <w:p w:rsidR="00E84D96" w:rsidRPr="00E84D96" w:rsidRDefault="00E84D96" w:rsidP="00E84D96">
      <w:pPr>
        <w:spacing w:after="0"/>
        <w:jc w:val="both"/>
        <w:rPr>
          <w:rFonts w:cstheme="minorHAnsi"/>
          <w:sz w:val="24"/>
          <w:szCs w:val="24"/>
        </w:rPr>
      </w:pPr>
    </w:p>
    <w:p w:rsidR="00FE4BEF" w:rsidRPr="00A80284" w:rsidRDefault="00FE4BEF" w:rsidP="00A80284">
      <w:pPr>
        <w:spacing w:after="0"/>
        <w:jc w:val="center"/>
        <w:rPr>
          <w:rFonts w:cstheme="minorHAnsi"/>
          <w:b/>
          <w:color w:val="1589C2"/>
          <w:sz w:val="36"/>
          <w:szCs w:val="36"/>
        </w:rPr>
      </w:pPr>
      <w:r w:rsidRPr="00A80284">
        <w:rPr>
          <w:rFonts w:cstheme="minorHAnsi"/>
          <w:b/>
          <w:color w:val="1589C2"/>
          <w:sz w:val="36"/>
          <w:szCs w:val="36"/>
        </w:rPr>
        <w:t>Funding</w:t>
      </w:r>
    </w:p>
    <w:p w:rsidR="00726E18" w:rsidRPr="00A80284" w:rsidRDefault="00726E18" w:rsidP="00A80284">
      <w:pPr>
        <w:spacing w:after="0"/>
        <w:jc w:val="both"/>
        <w:rPr>
          <w:rFonts w:cstheme="minorHAnsi"/>
          <w:sz w:val="24"/>
          <w:szCs w:val="24"/>
        </w:rPr>
      </w:pPr>
    </w:p>
    <w:p w:rsidR="00A80284" w:rsidRDefault="00726E18" w:rsidP="00E84D96">
      <w:pPr>
        <w:spacing w:after="0"/>
        <w:jc w:val="both"/>
        <w:rPr>
          <w:rFonts w:cstheme="minorHAnsi"/>
          <w:noProof/>
          <w:sz w:val="24"/>
          <w:szCs w:val="24"/>
        </w:rPr>
      </w:pPr>
      <w:r w:rsidRPr="00A80284">
        <w:rPr>
          <w:rFonts w:cstheme="minorHAnsi"/>
          <w:noProof/>
          <w:sz w:val="24"/>
          <w:szCs w:val="24"/>
        </w:rPr>
        <w:drawing>
          <wp:inline distT="0" distB="0" distL="0" distR="0" wp14:anchorId="5421B38C" wp14:editId="2BF1ED15">
            <wp:extent cx="6457950" cy="36399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09779" cy="3669210"/>
                    </a:xfrm>
                    <a:prstGeom prst="rect">
                      <a:avLst/>
                    </a:prstGeom>
                    <a:noFill/>
                    <a:ln>
                      <a:noFill/>
                    </a:ln>
                  </pic:spPr>
                </pic:pic>
              </a:graphicData>
            </a:graphic>
          </wp:inline>
        </w:drawing>
      </w:r>
    </w:p>
    <w:p w:rsidR="00E84D96" w:rsidRDefault="00E84D96" w:rsidP="00E84D96">
      <w:pPr>
        <w:spacing w:after="0"/>
        <w:jc w:val="both"/>
        <w:rPr>
          <w:rFonts w:cstheme="minorHAnsi"/>
          <w:noProof/>
          <w:sz w:val="24"/>
          <w:szCs w:val="24"/>
        </w:rPr>
      </w:pPr>
    </w:p>
    <w:p w:rsidR="00E84D96" w:rsidRPr="00E84D96" w:rsidRDefault="00E84D96" w:rsidP="00E84D96">
      <w:pPr>
        <w:spacing w:after="0"/>
        <w:jc w:val="both"/>
        <w:rPr>
          <w:rFonts w:cstheme="minorHAnsi"/>
          <w:noProof/>
          <w:sz w:val="24"/>
          <w:szCs w:val="24"/>
        </w:rPr>
      </w:pPr>
    </w:p>
    <w:p w:rsidR="005C2577" w:rsidRPr="00A80284" w:rsidRDefault="00FE4BEF" w:rsidP="00A80284">
      <w:pPr>
        <w:spacing w:after="0"/>
        <w:jc w:val="center"/>
        <w:rPr>
          <w:rFonts w:cstheme="minorHAnsi"/>
          <w:b/>
          <w:color w:val="1589C2"/>
          <w:sz w:val="36"/>
          <w:szCs w:val="36"/>
        </w:rPr>
      </w:pPr>
      <w:r w:rsidRPr="00A80284">
        <w:rPr>
          <w:rFonts w:cstheme="minorHAnsi"/>
          <w:b/>
          <w:color w:val="1589C2"/>
          <w:sz w:val="36"/>
          <w:szCs w:val="36"/>
        </w:rPr>
        <w:t>Expenditures</w:t>
      </w:r>
    </w:p>
    <w:tbl>
      <w:tblPr>
        <w:tblW w:w="9919" w:type="dxa"/>
        <w:tblLook w:val="04A0" w:firstRow="1" w:lastRow="0" w:firstColumn="1" w:lastColumn="0" w:noHBand="0" w:noVBand="1"/>
      </w:tblPr>
      <w:tblGrid>
        <w:gridCol w:w="7640"/>
        <w:gridCol w:w="2279"/>
      </w:tblGrid>
      <w:tr w:rsidR="005C2577" w:rsidRPr="00A80284" w:rsidTr="00A07D18">
        <w:trPr>
          <w:trHeight w:val="344"/>
        </w:trPr>
        <w:tc>
          <w:tcPr>
            <w:tcW w:w="7640" w:type="dxa"/>
            <w:tcBorders>
              <w:top w:val="single" w:sz="8" w:space="0" w:color="auto"/>
              <w:left w:val="single" w:sz="8" w:space="0" w:color="auto"/>
              <w:bottom w:val="single" w:sz="8" w:space="0" w:color="auto"/>
              <w:right w:val="single" w:sz="8" w:space="0" w:color="000000"/>
            </w:tcBorders>
            <w:shd w:val="clear" w:color="auto" w:fill="9CC2E5" w:themeFill="accent5" w:themeFillTint="99"/>
            <w:noWrap/>
            <w:vAlign w:val="bottom"/>
            <w:hideMark/>
          </w:tcPr>
          <w:p w:rsidR="005C2577" w:rsidRPr="00A80284" w:rsidRDefault="005C2577" w:rsidP="00A80284">
            <w:pPr>
              <w:spacing w:after="0" w:line="240" w:lineRule="auto"/>
              <w:jc w:val="both"/>
              <w:rPr>
                <w:rFonts w:eastAsia="Times New Roman" w:cstheme="minorHAnsi"/>
                <w:b/>
                <w:bCs/>
                <w:color w:val="000000"/>
                <w:sz w:val="24"/>
                <w:szCs w:val="24"/>
              </w:rPr>
            </w:pPr>
            <w:r w:rsidRPr="00A80284">
              <w:rPr>
                <w:rFonts w:eastAsia="Times New Roman" w:cstheme="minorHAnsi"/>
                <w:b/>
                <w:bCs/>
                <w:color w:val="000000"/>
                <w:sz w:val="24"/>
                <w:szCs w:val="24"/>
              </w:rPr>
              <w:t>2022-2023    Head Start General Expenditures</w:t>
            </w:r>
          </w:p>
        </w:tc>
        <w:tc>
          <w:tcPr>
            <w:tcW w:w="2279" w:type="dxa"/>
            <w:tcBorders>
              <w:top w:val="single" w:sz="8" w:space="0" w:color="auto"/>
              <w:left w:val="nil"/>
              <w:bottom w:val="single" w:sz="8" w:space="0" w:color="auto"/>
              <w:right w:val="single" w:sz="8" w:space="0" w:color="auto"/>
            </w:tcBorders>
            <w:shd w:val="clear" w:color="auto" w:fill="9CC2E5" w:themeFill="accent5" w:themeFillTint="99"/>
            <w:noWrap/>
            <w:vAlign w:val="bottom"/>
            <w:hideMark/>
          </w:tcPr>
          <w:p w:rsidR="005C2577" w:rsidRPr="00A80284" w:rsidRDefault="005C2577" w:rsidP="00A80284">
            <w:pPr>
              <w:spacing w:after="0" w:line="240" w:lineRule="auto"/>
              <w:jc w:val="both"/>
              <w:rPr>
                <w:rFonts w:eastAsia="Times New Roman" w:cstheme="minorHAnsi"/>
                <w:b/>
                <w:bCs/>
                <w:color w:val="000000"/>
                <w:sz w:val="24"/>
                <w:szCs w:val="24"/>
              </w:rPr>
            </w:pPr>
            <w:r w:rsidRPr="00A80284">
              <w:rPr>
                <w:rFonts w:eastAsia="Times New Roman" w:cstheme="minorHAnsi"/>
                <w:b/>
                <w:bCs/>
                <w:color w:val="000000"/>
                <w:sz w:val="24"/>
                <w:szCs w:val="24"/>
              </w:rPr>
              <w:t>Total</w:t>
            </w:r>
          </w:p>
        </w:tc>
      </w:tr>
      <w:tr w:rsidR="00A07D18" w:rsidRPr="00A80284" w:rsidTr="00ED2434">
        <w:trPr>
          <w:trHeight w:val="358"/>
        </w:trPr>
        <w:tc>
          <w:tcPr>
            <w:tcW w:w="7640" w:type="dxa"/>
            <w:tcBorders>
              <w:top w:val="nil"/>
              <w:left w:val="single" w:sz="8" w:space="0" w:color="auto"/>
              <w:bottom w:val="single" w:sz="8" w:space="0" w:color="auto"/>
              <w:right w:val="nil"/>
            </w:tcBorders>
            <w:shd w:val="clear" w:color="auto" w:fill="DEEAF6" w:themeFill="accent5" w:themeFillTint="33"/>
            <w:noWrap/>
            <w:vAlign w:val="bottom"/>
            <w:hideMark/>
          </w:tcPr>
          <w:p w:rsidR="00A07D18" w:rsidRPr="00ED2434" w:rsidRDefault="00A07D18" w:rsidP="00A80284">
            <w:pPr>
              <w:spacing w:after="0" w:line="240" w:lineRule="auto"/>
              <w:jc w:val="both"/>
              <w:rPr>
                <w:rFonts w:eastAsia="Times New Roman" w:cstheme="minorHAnsi"/>
                <w:bCs/>
                <w:color w:val="000000"/>
                <w:sz w:val="24"/>
                <w:szCs w:val="24"/>
              </w:rPr>
            </w:pPr>
            <w:r w:rsidRPr="00ED2434">
              <w:rPr>
                <w:rFonts w:eastAsia="Times New Roman" w:cstheme="minorHAnsi"/>
                <w:bCs/>
                <w:color w:val="000000"/>
                <w:sz w:val="24"/>
                <w:szCs w:val="24"/>
              </w:rPr>
              <w:t>Personnel   </w:t>
            </w:r>
          </w:p>
        </w:tc>
        <w:tc>
          <w:tcPr>
            <w:tcW w:w="2279" w:type="dxa"/>
            <w:tcBorders>
              <w:top w:val="nil"/>
              <w:left w:val="single" w:sz="8" w:space="0" w:color="auto"/>
              <w:bottom w:val="single" w:sz="8" w:space="0" w:color="auto"/>
              <w:right w:val="single" w:sz="8" w:space="0" w:color="auto"/>
            </w:tcBorders>
            <w:shd w:val="clear" w:color="auto" w:fill="BDD6EE" w:themeFill="accent5" w:themeFillTint="66"/>
            <w:noWrap/>
            <w:vAlign w:val="bottom"/>
            <w:hideMark/>
          </w:tcPr>
          <w:p w:rsidR="00A07D18" w:rsidRPr="00ED2434" w:rsidRDefault="00ED2434" w:rsidP="00ED2434">
            <w:pPr>
              <w:jc w:val="both"/>
              <w:rPr>
                <w:rFonts w:ascii="Calibri" w:hAnsi="Calibri" w:cs="Calibri"/>
                <w:bCs/>
              </w:rPr>
            </w:pPr>
            <w:r w:rsidRPr="00ED2434">
              <w:rPr>
                <w:rFonts w:ascii="Calibri" w:hAnsi="Calibri" w:cs="Calibri"/>
                <w:bCs/>
              </w:rPr>
              <w:t xml:space="preserve">   </w:t>
            </w:r>
            <w:r>
              <w:rPr>
                <w:rFonts w:ascii="Calibri" w:hAnsi="Calibri" w:cs="Calibri"/>
                <w:bCs/>
              </w:rPr>
              <w:t xml:space="preserve">$ </w:t>
            </w:r>
            <w:r w:rsidRPr="00ED2434">
              <w:rPr>
                <w:rFonts w:ascii="Calibri" w:hAnsi="Calibri" w:cs="Calibri"/>
                <w:bCs/>
              </w:rPr>
              <w:t xml:space="preserve">1,462,062.21 </w:t>
            </w:r>
          </w:p>
        </w:tc>
      </w:tr>
      <w:tr w:rsidR="00A07D18" w:rsidRPr="00A80284" w:rsidTr="00ED2434">
        <w:trPr>
          <w:trHeight w:val="372"/>
        </w:trPr>
        <w:tc>
          <w:tcPr>
            <w:tcW w:w="7640" w:type="dxa"/>
            <w:tcBorders>
              <w:top w:val="nil"/>
              <w:left w:val="single" w:sz="8" w:space="0" w:color="auto"/>
              <w:bottom w:val="single" w:sz="8" w:space="0" w:color="auto"/>
              <w:right w:val="nil"/>
            </w:tcBorders>
            <w:shd w:val="clear" w:color="auto" w:fill="DEEAF6" w:themeFill="accent5" w:themeFillTint="33"/>
            <w:noWrap/>
            <w:vAlign w:val="bottom"/>
            <w:hideMark/>
          </w:tcPr>
          <w:p w:rsidR="00A07D18" w:rsidRPr="00ED2434" w:rsidRDefault="00A07D18" w:rsidP="00A80284">
            <w:pPr>
              <w:spacing w:after="0" w:line="240" w:lineRule="auto"/>
              <w:jc w:val="both"/>
              <w:rPr>
                <w:rFonts w:eastAsia="Times New Roman" w:cstheme="minorHAnsi"/>
                <w:bCs/>
                <w:color w:val="000000"/>
                <w:sz w:val="24"/>
                <w:szCs w:val="24"/>
              </w:rPr>
            </w:pPr>
            <w:r w:rsidRPr="00ED2434">
              <w:rPr>
                <w:rFonts w:eastAsia="Times New Roman" w:cstheme="minorHAnsi"/>
                <w:bCs/>
                <w:color w:val="000000"/>
                <w:sz w:val="24"/>
                <w:szCs w:val="24"/>
              </w:rPr>
              <w:t>Fringe Benefits  </w:t>
            </w:r>
          </w:p>
        </w:tc>
        <w:tc>
          <w:tcPr>
            <w:tcW w:w="2279" w:type="dxa"/>
            <w:tcBorders>
              <w:top w:val="nil"/>
              <w:left w:val="single" w:sz="8" w:space="0" w:color="auto"/>
              <w:bottom w:val="single" w:sz="8" w:space="0" w:color="auto"/>
              <w:right w:val="single" w:sz="8" w:space="0" w:color="auto"/>
            </w:tcBorders>
            <w:shd w:val="clear" w:color="auto" w:fill="BDD6EE" w:themeFill="accent5" w:themeFillTint="66"/>
            <w:noWrap/>
            <w:vAlign w:val="bottom"/>
            <w:hideMark/>
          </w:tcPr>
          <w:p w:rsidR="00A07D18" w:rsidRPr="00ED2434" w:rsidRDefault="00ED2434" w:rsidP="00ED2434">
            <w:pPr>
              <w:jc w:val="both"/>
              <w:rPr>
                <w:rFonts w:ascii="Calibri" w:hAnsi="Calibri" w:cs="Calibri"/>
                <w:bCs/>
              </w:rPr>
            </w:pPr>
            <w:r w:rsidRPr="00ED2434">
              <w:rPr>
                <w:rFonts w:ascii="Calibri" w:hAnsi="Calibri" w:cs="Calibri"/>
                <w:bCs/>
              </w:rPr>
              <w:t xml:space="preserve">    </w:t>
            </w:r>
            <w:r>
              <w:rPr>
                <w:rFonts w:ascii="Calibri" w:hAnsi="Calibri" w:cs="Calibri"/>
                <w:bCs/>
              </w:rPr>
              <w:t>$</w:t>
            </w:r>
            <w:r w:rsidRPr="00ED2434">
              <w:rPr>
                <w:rFonts w:ascii="Calibri" w:hAnsi="Calibri" w:cs="Calibri"/>
                <w:bCs/>
              </w:rPr>
              <w:t xml:space="preserve"> 504,006.80 </w:t>
            </w:r>
          </w:p>
        </w:tc>
      </w:tr>
      <w:tr w:rsidR="00A07D18" w:rsidRPr="00A80284" w:rsidTr="00ED2434">
        <w:trPr>
          <w:trHeight w:val="304"/>
        </w:trPr>
        <w:tc>
          <w:tcPr>
            <w:tcW w:w="7640" w:type="dxa"/>
            <w:tcBorders>
              <w:top w:val="nil"/>
              <w:left w:val="single" w:sz="8" w:space="0" w:color="auto"/>
              <w:bottom w:val="single" w:sz="8" w:space="0" w:color="auto"/>
              <w:right w:val="nil"/>
            </w:tcBorders>
            <w:shd w:val="clear" w:color="auto" w:fill="DEEAF6" w:themeFill="accent5" w:themeFillTint="33"/>
            <w:noWrap/>
            <w:vAlign w:val="bottom"/>
            <w:hideMark/>
          </w:tcPr>
          <w:p w:rsidR="00A07D18" w:rsidRPr="00ED2434" w:rsidRDefault="00A07D18" w:rsidP="00A80284">
            <w:pPr>
              <w:spacing w:after="0" w:line="240" w:lineRule="auto"/>
              <w:jc w:val="both"/>
              <w:rPr>
                <w:rFonts w:eastAsia="Times New Roman" w:cstheme="minorHAnsi"/>
                <w:bCs/>
                <w:color w:val="000000"/>
                <w:sz w:val="24"/>
                <w:szCs w:val="24"/>
              </w:rPr>
            </w:pPr>
            <w:r w:rsidRPr="00ED2434">
              <w:rPr>
                <w:rFonts w:eastAsia="Times New Roman" w:cstheme="minorHAnsi"/>
                <w:bCs/>
                <w:color w:val="000000"/>
                <w:sz w:val="24"/>
                <w:szCs w:val="24"/>
              </w:rPr>
              <w:t>Travel/Travel-Out of Area/Vehicles  </w:t>
            </w:r>
          </w:p>
        </w:tc>
        <w:tc>
          <w:tcPr>
            <w:tcW w:w="2279" w:type="dxa"/>
            <w:tcBorders>
              <w:top w:val="nil"/>
              <w:left w:val="single" w:sz="8" w:space="0" w:color="auto"/>
              <w:bottom w:val="single" w:sz="8" w:space="0" w:color="auto"/>
              <w:right w:val="single" w:sz="8" w:space="0" w:color="auto"/>
            </w:tcBorders>
            <w:shd w:val="clear" w:color="auto" w:fill="BDD6EE" w:themeFill="accent5" w:themeFillTint="66"/>
            <w:noWrap/>
            <w:vAlign w:val="bottom"/>
            <w:hideMark/>
          </w:tcPr>
          <w:p w:rsidR="00A07D18" w:rsidRPr="00ED2434" w:rsidRDefault="00ED2434" w:rsidP="00ED2434">
            <w:pPr>
              <w:jc w:val="both"/>
              <w:rPr>
                <w:rFonts w:ascii="Calibri" w:hAnsi="Calibri" w:cs="Calibri"/>
                <w:bCs/>
              </w:rPr>
            </w:pPr>
            <w:r w:rsidRPr="00ED2434">
              <w:rPr>
                <w:rFonts w:ascii="Calibri" w:hAnsi="Calibri" w:cs="Calibri"/>
                <w:bCs/>
              </w:rPr>
              <w:t xml:space="preserve">       </w:t>
            </w:r>
            <w:r>
              <w:rPr>
                <w:rFonts w:ascii="Calibri" w:hAnsi="Calibri" w:cs="Calibri"/>
                <w:bCs/>
              </w:rPr>
              <w:t xml:space="preserve">$ </w:t>
            </w:r>
            <w:r w:rsidRPr="00ED2434">
              <w:rPr>
                <w:rFonts w:ascii="Calibri" w:hAnsi="Calibri" w:cs="Calibri"/>
                <w:bCs/>
              </w:rPr>
              <w:t xml:space="preserve">139,742.95 </w:t>
            </w:r>
          </w:p>
        </w:tc>
      </w:tr>
      <w:tr w:rsidR="00A07D18" w:rsidRPr="00A80284" w:rsidTr="00ED2434">
        <w:trPr>
          <w:trHeight w:val="340"/>
        </w:trPr>
        <w:tc>
          <w:tcPr>
            <w:tcW w:w="7640" w:type="dxa"/>
            <w:tcBorders>
              <w:top w:val="nil"/>
              <w:left w:val="single" w:sz="8" w:space="0" w:color="auto"/>
              <w:bottom w:val="single" w:sz="8" w:space="0" w:color="auto"/>
              <w:right w:val="nil"/>
            </w:tcBorders>
            <w:shd w:val="clear" w:color="auto" w:fill="DEEAF6" w:themeFill="accent5" w:themeFillTint="33"/>
            <w:noWrap/>
            <w:vAlign w:val="bottom"/>
            <w:hideMark/>
          </w:tcPr>
          <w:p w:rsidR="00A07D18" w:rsidRPr="00ED2434" w:rsidRDefault="00A07D18" w:rsidP="00A80284">
            <w:pPr>
              <w:spacing w:after="0" w:line="240" w:lineRule="auto"/>
              <w:jc w:val="both"/>
              <w:rPr>
                <w:rFonts w:eastAsia="Times New Roman" w:cstheme="minorHAnsi"/>
                <w:bCs/>
                <w:color w:val="000000"/>
                <w:sz w:val="24"/>
                <w:szCs w:val="24"/>
              </w:rPr>
            </w:pPr>
            <w:r w:rsidRPr="00ED2434">
              <w:rPr>
                <w:rFonts w:eastAsia="Times New Roman" w:cstheme="minorHAnsi"/>
                <w:bCs/>
                <w:color w:val="000000"/>
                <w:sz w:val="24"/>
                <w:szCs w:val="24"/>
              </w:rPr>
              <w:t>Supplies  </w:t>
            </w:r>
          </w:p>
        </w:tc>
        <w:tc>
          <w:tcPr>
            <w:tcW w:w="2279" w:type="dxa"/>
            <w:tcBorders>
              <w:top w:val="nil"/>
              <w:left w:val="single" w:sz="8" w:space="0" w:color="auto"/>
              <w:bottom w:val="single" w:sz="8" w:space="0" w:color="auto"/>
              <w:right w:val="single" w:sz="8" w:space="0" w:color="auto"/>
            </w:tcBorders>
            <w:shd w:val="clear" w:color="auto" w:fill="BDD6EE" w:themeFill="accent5" w:themeFillTint="66"/>
            <w:noWrap/>
            <w:vAlign w:val="bottom"/>
            <w:hideMark/>
          </w:tcPr>
          <w:p w:rsidR="00A07D18" w:rsidRPr="00ED2434" w:rsidRDefault="00ED2434" w:rsidP="00ED2434">
            <w:pPr>
              <w:jc w:val="both"/>
              <w:rPr>
                <w:rFonts w:ascii="Calibri" w:hAnsi="Calibri" w:cs="Calibri"/>
                <w:bCs/>
              </w:rPr>
            </w:pPr>
            <w:r w:rsidRPr="00ED2434">
              <w:rPr>
                <w:rFonts w:ascii="Calibri" w:hAnsi="Calibri" w:cs="Calibri"/>
                <w:bCs/>
              </w:rPr>
              <w:t xml:space="preserve">      </w:t>
            </w:r>
            <w:r>
              <w:rPr>
                <w:rFonts w:ascii="Calibri" w:hAnsi="Calibri" w:cs="Calibri"/>
                <w:bCs/>
              </w:rPr>
              <w:t>$</w:t>
            </w:r>
            <w:r w:rsidRPr="00ED2434">
              <w:rPr>
                <w:rFonts w:ascii="Calibri" w:hAnsi="Calibri" w:cs="Calibri"/>
                <w:bCs/>
              </w:rPr>
              <w:t xml:space="preserve"> 220,571.09 </w:t>
            </w:r>
          </w:p>
        </w:tc>
      </w:tr>
      <w:tr w:rsidR="00A07D18" w:rsidRPr="00A80284" w:rsidTr="00ED2434">
        <w:trPr>
          <w:trHeight w:val="175"/>
        </w:trPr>
        <w:tc>
          <w:tcPr>
            <w:tcW w:w="7640" w:type="dxa"/>
            <w:tcBorders>
              <w:top w:val="nil"/>
              <w:left w:val="single" w:sz="8" w:space="0" w:color="auto"/>
              <w:bottom w:val="single" w:sz="4" w:space="0" w:color="auto"/>
              <w:right w:val="nil"/>
            </w:tcBorders>
            <w:shd w:val="clear" w:color="auto" w:fill="DEEAF6" w:themeFill="accent5" w:themeFillTint="33"/>
            <w:noWrap/>
            <w:vAlign w:val="bottom"/>
            <w:hideMark/>
          </w:tcPr>
          <w:p w:rsidR="00A07D18" w:rsidRPr="00ED2434" w:rsidRDefault="00A07D18" w:rsidP="00A80284">
            <w:pPr>
              <w:spacing w:after="0" w:line="240" w:lineRule="auto"/>
              <w:jc w:val="both"/>
              <w:rPr>
                <w:rFonts w:eastAsia="Times New Roman" w:cstheme="minorHAnsi"/>
                <w:bCs/>
                <w:color w:val="000000"/>
                <w:sz w:val="24"/>
                <w:szCs w:val="24"/>
              </w:rPr>
            </w:pPr>
            <w:r w:rsidRPr="00ED2434">
              <w:rPr>
                <w:rFonts w:eastAsia="Times New Roman" w:cstheme="minorHAnsi"/>
                <w:bCs/>
                <w:color w:val="000000"/>
                <w:sz w:val="24"/>
                <w:szCs w:val="24"/>
              </w:rPr>
              <w:t>Training </w:t>
            </w:r>
          </w:p>
        </w:tc>
        <w:tc>
          <w:tcPr>
            <w:tcW w:w="2279" w:type="dxa"/>
            <w:tcBorders>
              <w:top w:val="nil"/>
              <w:left w:val="single" w:sz="8" w:space="0" w:color="auto"/>
              <w:bottom w:val="single" w:sz="4" w:space="0" w:color="auto"/>
              <w:right w:val="single" w:sz="8" w:space="0" w:color="auto"/>
            </w:tcBorders>
            <w:shd w:val="clear" w:color="auto" w:fill="BDD6EE" w:themeFill="accent5" w:themeFillTint="66"/>
            <w:noWrap/>
            <w:vAlign w:val="bottom"/>
            <w:hideMark/>
          </w:tcPr>
          <w:p w:rsidR="00A07D18" w:rsidRPr="00ED2434" w:rsidRDefault="00ED2434" w:rsidP="00ED2434">
            <w:pPr>
              <w:jc w:val="both"/>
              <w:rPr>
                <w:rFonts w:ascii="Calibri" w:hAnsi="Calibri" w:cs="Calibri"/>
                <w:bCs/>
              </w:rPr>
            </w:pPr>
            <w:r w:rsidRPr="00ED2434">
              <w:rPr>
                <w:rFonts w:ascii="Calibri" w:hAnsi="Calibri" w:cs="Calibri"/>
                <w:bCs/>
              </w:rPr>
              <w:t xml:space="preserve">       </w:t>
            </w:r>
            <w:r>
              <w:rPr>
                <w:rFonts w:ascii="Calibri" w:hAnsi="Calibri" w:cs="Calibri"/>
                <w:bCs/>
              </w:rPr>
              <w:t xml:space="preserve">$ </w:t>
            </w:r>
            <w:r w:rsidRPr="00ED2434">
              <w:rPr>
                <w:rFonts w:ascii="Calibri" w:hAnsi="Calibri" w:cs="Calibri"/>
                <w:bCs/>
              </w:rPr>
              <w:t xml:space="preserve">142,217.12 </w:t>
            </w:r>
          </w:p>
        </w:tc>
      </w:tr>
      <w:tr w:rsidR="00ED2434" w:rsidRPr="00A80284" w:rsidTr="00ED2434">
        <w:trPr>
          <w:trHeight w:val="175"/>
        </w:trPr>
        <w:tc>
          <w:tcPr>
            <w:tcW w:w="7640"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tcPr>
          <w:p w:rsidR="00ED2434" w:rsidRPr="00A80284" w:rsidRDefault="00ED2434" w:rsidP="00A80284">
            <w:pPr>
              <w:spacing w:after="0" w:line="240" w:lineRule="auto"/>
              <w:jc w:val="both"/>
              <w:rPr>
                <w:rFonts w:eastAsia="Times New Roman" w:cstheme="minorHAnsi"/>
                <w:b/>
                <w:bCs/>
                <w:color w:val="000000"/>
                <w:sz w:val="24"/>
                <w:szCs w:val="24"/>
              </w:rPr>
            </w:pPr>
            <w:r>
              <w:rPr>
                <w:rFonts w:eastAsia="Times New Roman" w:cstheme="minorHAnsi"/>
                <w:b/>
                <w:bCs/>
                <w:color w:val="000000"/>
                <w:sz w:val="24"/>
                <w:szCs w:val="24"/>
              </w:rPr>
              <w:t>Total</w:t>
            </w:r>
          </w:p>
        </w:tc>
        <w:tc>
          <w:tcPr>
            <w:tcW w:w="2279"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tcPr>
          <w:p w:rsidR="00ED2434" w:rsidRPr="00ED2434" w:rsidRDefault="00ED2434" w:rsidP="00ED2434">
            <w:pPr>
              <w:jc w:val="both"/>
              <w:rPr>
                <w:rFonts w:ascii="Calibri" w:hAnsi="Calibri" w:cs="Calibri"/>
                <w:b/>
                <w:bCs/>
              </w:rPr>
            </w:pPr>
            <w:r w:rsidRPr="00ED2434">
              <w:rPr>
                <w:rFonts w:ascii="Calibri" w:hAnsi="Calibri" w:cs="Calibri"/>
                <w:b/>
                <w:bCs/>
              </w:rPr>
              <w:t xml:space="preserve">   </w:t>
            </w:r>
            <w:r>
              <w:rPr>
                <w:rFonts w:ascii="Calibri" w:hAnsi="Calibri" w:cs="Calibri"/>
                <w:b/>
                <w:bCs/>
              </w:rPr>
              <w:t xml:space="preserve">$ </w:t>
            </w:r>
            <w:r w:rsidRPr="00ED2434">
              <w:rPr>
                <w:rFonts w:ascii="Calibri" w:hAnsi="Calibri" w:cs="Calibri"/>
                <w:b/>
                <w:bCs/>
              </w:rPr>
              <w:t xml:space="preserve">2,568,306.47 </w:t>
            </w:r>
          </w:p>
        </w:tc>
      </w:tr>
    </w:tbl>
    <w:p w:rsidR="00A80284" w:rsidRPr="00A80284" w:rsidRDefault="00A80284" w:rsidP="004F4D24">
      <w:pPr>
        <w:spacing w:after="0"/>
        <w:jc w:val="both"/>
        <w:rPr>
          <w:rFonts w:cstheme="minorHAnsi"/>
          <w:b/>
          <w:color w:val="1589C2"/>
          <w:sz w:val="24"/>
          <w:szCs w:val="24"/>
        </w:rPr>
      </w:pPr>
    </w:p>
    <w:p w:rsidR="00C11CDB" w:rsidRDefault="00726E18" w:rsidP="00A80284">
      <w:pPr>
        <w:spacing w:after="0"/>
        <w:jc w:val="center"/>
        <w:rPr>
          <w:rFonts w:cstheme="minorHAnsi"/>
          <w:b/>
          <w:color w:val="1589C2"/>
          <w:sz w:val="36"/>
          <w:szCs w:val="36"/>
        </w:rPr>
      </w:pPr>
      <w:r w:rsidRPr="00A80284">
        <w:rPr>
          <w:rFonts w:cstheme="minorHAnsi"/>
          <w:b/>
          <w:color w:val="1589C2"/>
          <w:sz w:val="36"/>
          <w:szCs w:val="36"/>
        </w:rPr>
        <w:t>Health</w:t>
      </w:r>
    </w:p>
    <w:p w:rsidR="004F4D24" w:rsidRPr="00A80284" w:rsidRDefault="004F4D24" w:rsidP="004F4D24">
      <w:pPr>
        <w:spacing w:after="0"/>
        <w:rPr>
          <w:rFonts w:cstheme="minorHAnsi"/>
          <w:b/>
          <w:color w:val="1589C2"/>
          <w:sz w:val="36"/>
          <w:szCs w:val="36"/>
        </w:rPr>
      </w:pPr>
      <w:r>
        <w:rPr>
          <w:noProof/>
        </w:rPr>
        <mc:AlternateContent>
          <mc:Choice Requires="wps">
            <w:drawing>
              <wp:anchor distT="0" distB="0" distL="114300" distR="114300" simplePos="0" relativeHeight="251661312" behindDoc="0" locked="0" layoutInCell="1" allowOverlap="1" wp14:anchorId="7B2115B1" wp14:editId="3F4A2A0D">
                <wp:simplePos x="0" y="0"/>
                <wp:positionH relativeFrom="column">
                  <wp:posOffset>2447925</wp:posOffset>
                </wp:positionH>
                <wp:positionV relativeFrom="paragraph">
                  <wp:posOffset>101600</wp:posOffset>
                </wp:positionV>
                <wp:extent cx="4397375" cy="1923415"/>
                <wp:effectExtent l="0" t="0" r="22225" b="19685"/>
                <wp:wrapSquare wrapText="bothSides"/>
                <wp:docPr id="8" name="Text Box 8"/>
                <wp:cNvGraphicFramePr/>
                <a:graphic xmlns:a="http://schemas.openxmlformats.org/drawingml/2006/main">
                  <a:graphicData uri="http://schemas.microsoft.com/office/word/2010/wordprocessingShape">
                    <wps:wsp>
                      <wps:cNvSpPr txBox="1"/>
                      <wps:spPr>
                        <a:xfrm>
                          <a:off x="0" y="0"/>
                          <a:ext cx="4397375" cy="1923415"/>
                        </a:xfrm>
                        <a:prstGeom prst="rect">
                          <a:avLst/>
                        </a:prstGeom>
                        <a:noFill/>
                        <a:ln w="6350">
                          <a:solidFill>
                            <a:prstClr val="black"/>
                          </a:solidFill>
                        </a:ln>
                      </wps:spPr>
                      <wps:txbx>
                        <w:txbxContent>
                          <w:p w:rsidR="004F4D24" w:rsidRPr="00A0127F" w:rsidRDefault="004F4D24" w:rsidP="00A0127F">
                            <w:pPr>
                              <w:spacing w:after="0" w:line="312" w:lineRule="auto"/>
                              <w:jc w:val="both"/>
                              <w:rPr>
                                <w:rFonts w:cstheme="minorHAnsi"/>
                                <w:sz w:val="24"/>
                                <w:szCs w:val="24"/>
                              </w:rPr>
                            </w:pPr>
                            <w:r w:rsidRPr="00A80284">
                              <w:rPr>
                                <w:rFonts w:cstheme="minorHAnsi"/>
                                <w:sz w:val="24"/>
                                <w:szCs w:val="24"/>
                              </w:rPr>
                              <w:t xml:space="preserve">Our health-related services are well-received with staff and community professionals collaborating to complete health and developmental screenings. During the screenings, children are assessed on dental, vision and hearing as well as </w:t>
                            </w:r>
                            <w:r w:rsidRPr="00A80284">
                              <w:rPr>
                                <w:rFonts w:cstheme="minorHAnsi"/>
                                <w:bCs/>
                                <w:color w:val="202124"/>
                                <w:sz w:val="24"/>
                                <w:szCs w:val="24"/>
                                <w:shd w:val="clear" w:color="auto" w:fill="FFFFFF"/>
                              </w:rPr>
                              <w:t>developmental screening test designed to identify young children who need further testing or who need help with academic skills</w:t>
                            </w:r>
                            <w:r w:rsidRPr="00A80284">
                              <w:rPr>
                                <w:rFonts w:cstheme="minorHAnsi"/>
                                <w:color w:val="202124"/>
                                <w:sz w:val="24"/>
                                <w:szCs w:val="24"/>
                                <w:shd w:val="clear" w:color="auto" w:fill="FFFFFF"/>
                              </w:rPr>
                              <w:t>.  Children have received early identification of hearing, dental and vision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115B1" id="Text Box 8" o:spid="_x0000_s1027" type="#_x0000_t202" style="position:absolute;margin-left:192.75pt;margin-top:8pt;width:346.25pt;height:15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" filled="f" strokeweight=".5pt">
                <v:textbox>
                  <w:txbxContent>
                    <w:p w:rsidR="004F4D24" w:rsidRPr="00A0127F" w:rsidRDefault="004F4D24" w:rsidP="00A0127F">
                      <w:pPr>
                        <w:spacing w:after="0" w:line="312" w:lineRule="auto"/>
                        <w:jc w:val="both"/>
                        <w:rPr>
                          <w:rFonts w:cstheme="minorHAnsi"/>
                          <w:sz w:val="24"/>
                          <w:szCs w:val="24"/>
                        </w:rPr>
                      </w:pPr>
                      <w:r w:rsidRPr="00A80284">
                        <w:rPr>
                          <w:rFonts w:cstheme="minorHAnsi"/>
                          <w:sz w:val="24"/>
                          <w:szCs w:val="24"/>
                        </w:rPr>
                        <w:t xml:space="preserve">Our health-related services are well-received with staff and community professionals collaborating to complete health and developmental screenings. During the screenings, children are assessed on dental, vision and hearing as well as </w:t>
                      </w:r>
                      <w:r w:rsidRPr="00A80284">
                        <w:rPr>
                          <w:rFonts w:cstheme="minorHAnsi"/>
                          <w:bCs/>
                          <w:color w:val="202124"/>
                          <w:sz w:val="24"/>
                          <w:szCs w:val="24"/>
                          <w:shd w:val="clear" w:color="auto" w:fill="FFFFFF"/>
                        </w:rPr>
                        <w:t>developmental screening test designed to identify young children who need further testing or who need help with academic skills</w:t>
                      </w:r>
                      <w:r w:rsidRPr="00A80284">
                        <w:rPr>
                          <w:rFonts w:cstheme="minorHAnsi"/>
                          <w:color w:val="202124"/>
                          <w:sz w:val="24"/>
                          <w:szCs w:val="24"/>
                          <w:shd w:val="clear" w:color="auto" w:fill="FFFFFF"/>
                        </w:rPr>
                        <w:t>.  Children have received early identification of hearing, dental and vision needs.</w:t>
                      </w:r>
                    </w:p>
                  </w:txbxContent>
                </v:textbox>
                <w10:wrap type="square"/>
              </v:shape>
            </w:pict>
          </mc:Fallback>
        </mc:AlternateContent>
      </w:r>
      <w:r>
        <w:rPr>
          <w:noProof/>
        </w:rPr>
        <w:drawing>
          <wp:inline distT="0" distB="0" distL="0" distR="0" wp14:anchorId="1B3C0D37" wp14:editId="69D3BE4F">
            <wp:extent cx="2219325" cy="1980842"/>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37617" cy="1997168"/>
                    </a:xfrm>
                    <a:prstGeom prst="rect">
                      <a:avLst/>
                    </a:prstGeom>
                    <a:noFill/>
                    <a:ln>
                      <a:noFill/>
                    </a:ln>
                  </pic:spPr>
                </pic:pic>
              </a:graphicData>
            </a:graphic>
          </wp:inline>
        </w:drawing>
      </w:r>
    </w:p>
    <w:p w:rsidR="005B5089" w:rsidRPr="00A80284" w:rsidRDefault="005B5089" w:rsidP="00A80284">
      <w:pPr>
        <w:spacing w:after="0"/>
        <w:jc w:val="both"/>
        <w:rPr>
          <w:rFonts w:cstheme="minorHAnsi"/>
          <w:b/>
          <w:color w:val="4472C4" w:themeColor="accent1"/>
          <w:sz w:val="24"/>
          <w:szCs w:val="24"/>
        </w:rPr>
      </w:pPr>
    </w:p>
    <w:p w:rsidR="005C3604" w:rsidRPr="00A80284" w:rsidRDefault="004D5643" w:rsidP="00A80284">
      <w:pPr>
        <w:spacing w:after="0"/>
        <w:jc w:val="center"/>
        <w:rPr>
          <w:rFonts w:cstheme="minorHAnsi"/>
          <w:b/>
          <w:color w:val="1589C2"/>
          <w:sz w:val="36"/>
          <w:szCs w:val="36"/>
        </w:rPr>
      </w:pPr>
      <w:r w:rsidRPr="00A80284">
        <w:rPr>
          <w:rFonts w:cstheme="minorHAnsi"/>
          <w:b/>
          <w:color w:val="1589C2"/>
          <w:sz w:val="36"/>
          <w:szCs w:val="36"/>
        </w:rPr>
        <w:t>School Readiness</w:t>
      </w:r>
    </w:p>
    <w:p w:rsidR="005C2577" w:rsidRDefault="005C2577" w:rsidP="00A80284">
      <w:pPr>
        <w:spacing w:after="0" w:line="312" w:lineRule="auto"/>
        <w:jc w:val="both"/>
        <w:rPr>
          <w:rFonts w:cstheme="minorHAnsi"/>
          <w:sz w:val="24"/>
          <w:szCs w:val="24"/>
        </w:rPr>
      </w:pPr>
      <w:r w:rsidRPr="00A80284">
        <w:rPr>
          <w:rFonts w:cstheme="minorHAnsi"/>
          <w:sz w:val="24"/>
          <w:szCs w:val="24"/>
        </w:rPr>
        <w:t xml:space="preserve">NWCA Head Start promotes parents as their child’s first, and most important teacher. Head Start parents have many opportunities to participate in educational activities in their individual service area. Parents participated in Policy Council and with knowledge, attendance and participation growing with each meeting. Parent attend local parent meetings, work their teacher and their child on home visits. Additionally, 4 conferences are held with each family throughout the year. In Early Head Start, a weekly (46 total) home visits of 1.5 hours is done with each enrolled child and a parent.  The Buddy Group get- together is held twice a month for families in each local area in which activities, education, and information is provided for the children and parents. Parent engagement is emphasized and literacy activities, budgeting education, mental health counseling, and crisis assistance are a few of the parent support services provided. </w:t>
      </w:r>
    </w:p>
    <w:p w:rsidR="004F4D24" w:rsidRPr="00A80284" w:rsidRDefault="004F4D24" w:rsidP="004F4D24">
      <w:pPr>
        <w:tabs>
          <w:tab w:val="left" w:pos="4320"/>
        </w:tabs>
        <w:spacing w:after="0" w:line="312" w:lineRule="auto"/>
        <w:jc w:val="both"/>
        <w:rPr>
          <w:rFonts w:cstheme="minorHAnsi"/>
          <w:sz w:val="24"/>
          <w:szCs w:val="24"/>
        </w:rPr>
      </w:pPr>
      <w:r>
        <w:t xml:space="preserve">               </w:t>
      </w:r>
      <w:r>
        <w:rPr>
          <w:noProof/>
        </w:rPr>
        <w:drawing>
          <wp:inline distT="0" distB="0" distL="0" distR="0" wp14:anchorId="7B38D9E7" wp14:editId="4F0C60C3">
            <wp:extent cx="2760152" cy="16490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52" cy="1656026"/>
                    </a:xfrm>
                    <a:prstGeom prst="rect">
                      <a:avLst/>
                    </a:prstGeom>
                    <a:noFill/>
                    <a:ln>
                      <a:noFill/>
                    </a:ln>
                  </pic:spPr>
                </pic:pic>
              </a:graphicData>
            </a:graphic>
          </wp:inline>
        </w:drawing>
      </w:r>
      <w:r>
        <w:t xml:space="preserve">                                  </w:t>
      </w:r>
      <w:r w:rsidRPr="004F4D24">
        <w:t xml:space="preserve"> </w:t>
      </w:r>
      <w:r>
        <w:rPr>
          <w:noProof/>
        </w:rPr>
        <w:drawing>
          <wp:inline distT="0" distB="0" distL="0" distR="0" wp14:anchorId="28E8FDC5" wp14:editId="0D5C3BBF">
            <wp:extent cx="1265873" cy="168783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7071" cy="1702760"/>
                    </a:xfrm>
                    <a:prstGeom prst="rect">
                      <a:avLst/>
                    </a:prstGeom>
                    <a:noFill/>
                    <a:ln>
                      <a:noFill/>
                    </a:ln>
                  </pic:spPr>
                </pic:pic>
              </a:graphicData>
            </a:graphic>
          </wp:inline>
        </w:drawing>
      </w:r>
    </w:p>
    <w:p w:rsidR="005C2577" w:rsidRPr="00A80284" w:rsidRDefault="005C2577" w:rsidP="00A80284">
      <w:pPr>
        <w:spacing w:after="0"/>
        <w:jc w:val="both"/>
        <w:rPr>
          <w:rFonts w:cstheme="minorHAnsi"/>
          <w:sz w:val="24"/>
          <w:szCs w:val="24"/>
        </w:rPr>
      </w:pPr>
    </w:p>
    <w:p w:rsidR="005C2577" w:rsidRPr="00A80284" w:rsidRDefault="005C2577" w:rsidP="00A80284">
      <w:pPr>
        <w:spacing w:after="0"/>
        <w:jc w:val="both"/>
        <w:rPr>
          <w:rFonts w:cstheme="minorHAnsi"/>
          <w:sz w:val="24"/>
          <w:szCs w:val="24"/>
        </w:rPr>
      </w:pPr>
      <w:r w:rsidRPr="00A80284">
        <w:rPr>
          <w:rFonts w:cstheme="minorHAnsi"/>
          <w:sz w:val="24"/>
          <w:szCs w:val="24"/>
        </w:rPr>
        <w:t xml:space="preserve">Early Head Start continued to utilize the Child Observation Record Advantage (COR) for outcome and growth tracking. The COR works well in monitoring infant and toddler development, and during the 2022-2023 program year there continued to be growth in all areas of development.  </w:t>
      </w:r>
    </w:p>
    <w:p w:rsidR="005C2577" w:rsidRPr="00A80284" w:rsidRDefault="005C2577" w:rsidP="00A80284">
      <w:pPr>
        <w:spacing w:after="0"/>
        <w:jc w:val="both"/>
        <w:rPr>
          <w:rFonts w:cstheme="minorHAnsi"/>
          <w:sz w:val="24"/>
          <w:szCs w:val="24"/>
        </w:rPr>
      </w:pPr>
    </w:p>
    <w:p w:rsidR="005C2577" w:rsidRPr="00A80284" w:rsidRDefault="005C2577" w:rsidP="00A80284">
      <w:pPr>
        <w:spacing w:after="0"/>
        <w:jc w:val="both"/>
        <w:rPr>
          <w:rFonts w:cstheme="minorHAnsi"/>
          <w:sz w:val="24"/>
          <w:szCs w:val="24"/>
        </w:rPr>
      </w:pPr>
      <w:r w:rsidRPr="00A80284">
        <w:rPr>
          <w:rFonts w:cstheme="minorHAnsi"/>
          <w:sz w:val="24"/>
          <w:szCs w:val="24"/>
        </w:rPr>
        <w:t>Early Head Start teachers utilize COR Advantage to provide a complete picture of each child’s development. COR Advantage allows teachers to observe children's development through play and naturally occurring activities.</w:t>
      </w:r>
    </w:p>
    <w:p w:rsidR="005C2577" w:rsidRPr="00A80284" w:rsidRDefault="005C2577" w:rsidP="00A80284">
      <w:pPr>
        <w:spacing w:after="0" w:line="312" w:lineRule="auto"/>
        <w:jc w:val="both"/>
        <w:rPr>
          <w:rFonts w:cstheme="minorHAnsi"/>
          <w:sz w:val="24"/>
          <w:szCs w:val="24"/>
        </w:rPr>
      </w:pPr>
    </w:p>
    <w:p w:rsidR="005C2577" w:rsidRPr="00A80284" w:rsidRDefault="005C2577" w:rsidP="00A80284">
      <w:pPr>
        <w:spacing w:after="0"/>
        <w:jc w:val="both"/>
        <w:rPr>
          <w:rFonts w:cstheme="minorHAnsi"/>
          <w:sz w:val="24"/>
          <w:szCs w:val="24"/>
        </w:rPr>
      </w:pPr>
    </w:p>
    <w:p w:rsidR="00BB1323" w:rsidRPr="00A80284" w:rsidRDefault="00FF63F8" w:rsidP="00A80284">
      <w:pPr>
        <w:spacing w:after="0"/>
        <w:jc w:val="both"/>
        <w:rPr>
          <w:rFonts w:cstheme="minorHAnsi"/>
          <w:sz w:val="24"/>
          <w:szCs w:val="24"/>
        </w:rPr>
      </w:pPr>
      <w:r w:rsidRPr="00A80284">
        <w:rPr>
          <w:rFonts w:cstheme="minorHAnsi"/>
          <w:noProof/>
          <w:sz w:val="24"/>
          <w:szCs w:val="24"/>
        </w:rPr>
        <w:drawing>
          <wp:inline distT="0" distB="0" distL="0" distR="0" wp14:anchorId="266CC550" wp14:editId="35DA4702">
            <wp:extent cx="6858000" cy="3657600"/>
            <wp:effectExtent l="0" t="0" r="0" b="0"/>
            <wp:docPr id="23" name="Chart 23">
              <a:extLst xmlns:a="http://schemas.openxmlformats.org/drawingml/2006/main">
                <a:ext uri="{FF2B5EF4-FFF2-40B4-BE49-F238E27FC236}">
                  <a16:creationId xmlns:a16="http://schemas.microsoft.com/office/drawing/2014/main" id="{920BBE6A-2F78-4166-B895-3BCED34B5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F63F8" w:rsidRPr="00A80284" w:rsidRDefault="00FF63F8" w:rsidP="00A80284">
      <w:pPr>
        <w:spacing w:after="0"/>
        <w:jc w:val="both"/>
        <w:rPr>
          <w:rFonts w:cstheme="minorHAnsi"/>
          <w:sz w:val="24"/>
          <w:szCs w:val="24"/>
        </w:rPr>
      </w:pPr>
    </w:p>
    <w:p w:rsidR="005C2577" w:rsidRDefault="005C2577" w:rsidP="00A80284">
      <w:pPr>
        <w:spacing w:after="0" w:line="288" w:lineRule="auto"/>
        <w:jc w:val="both"/>
        <w:rPr>
          <w:rFonts w:cstheme="minorHAnsi"/>
          <w:sz w:val="24"/>
          <w:szCs w:val="24"/>
        </w:rPr>
      </w:pPr>
      <w:r w:rsidRPr="00A80284">
        <w:rPr>
          <w:rFonts w:cstheme="minorHAnsi"/>
          <w:sz w:val="24"/>
          <w:szCs w:val="24"/>
        </w:rPr>
        <w:t xml:space="preserve">We continued our involvement in a project to aggregate child outcome data statewide using the Teaching Strategies Gold (TSG). The intent of the program is to document child growth success as well as point to areas for improvement. The results will also help refine our efforts to optimize each child’s development and for transitions to kindergarten as well as individual teacher growth. During each school year, communications occur with kindergarten teachers in each school district to review expectations and discuss transition experiences. Developmental growth and/or concerns is shared as appropriate. Memorandums of Agreement that lay out transition activities and mutual school readiness goals are developed with each school district. Overarching goals and the developmental growth of Kindergarten-bound children are included below. There was growth from fall 2022 to spring 2023 in all assessment areas including; Social-Emotional, Gross Motor Fine Motor, Language, Cognitive, Literacy and in Math. </w:t>
      </w:r>
    </w:p>
    <w:p w:rsidR="004F4D24" w:rsidRPr="00A80284" w:rsidRDefault="004F4D24" w:rsidP="00A80284">
      <w:pPr>
        <w:spacing w:after="0" w:line="288" w:lineRule="auto"/>
        <w:jc w:val="both"/>
        <w:rPr>
          <w:rFonts w:cstheme="minorHAnsi"/>
          <w:sz w:val="24"/>
          <w:szCs w:val="24"/>
        </w:rPr>
      </w:pPr>
      <w:r>
        <w:rPr>
          <w:noProof/>
        </w:rPr>
        <w:t xml:space="preserve">               </w:t>
      </w:r>
      <w:r>
        <w:rPr>
          <w:noProof/>
        </w:rPr>
        <w:drawing>
          <wp:inline distT="0" distB="0" distL="0" distR="0" wp14:anchorId="11E2F35E" wp14:editId="4A9F163E">
            <wp:extent cx="1590675" cy="2105944"/>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0004" cy="2131534"/>
                    </a:xfrm>
                    <a:prstGeom prst="rect">
                      <a:avLst/>
                    </a:prstGeom>
                    <a:noFill/>
                    <a:ln>
                      <a:noFill/>
                    </a:ln>
                  </pic:spPr>
                </pic:pic>
              </a:graphicData>
            </a:graphic>
          </wp:inline>
        </w:drawing>
      </w:r>
      <w:r>
        <w:rPr>
          <w:noProof/>
        </w:rPr>
        <w:t xml:space="preserve">                              </w:t>
      </w:r>
      <w:r w:rsidRPr="004F4D24">
        <w:rPr>
          <w:noProof/>
        </w:rPr>
        <w:t xml:space="preserve"> </w:t>
      </w:r>
      <w:r>
        <w:rPr>
          <w:noProof/>
        </w:rPr>
        <w:drawing>
          <wp:inline distT="0" distB="0" distL="0" distR="0" wp14:anchorId="54253219" wp14:editId="31FFC04D">
            <wp:extent cx="2457450" cy="215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82380" cy="2177140"/>
                    </a:xfrm>
                    <a:prstGeom prst="rect">
                      <a:avLst/>
                    </a:prstGeom>
                  </pic:spPr>
                </pic:pic>
              </a:graphicData>
            </a:graphic>
          </wp:inline>
        </w:drawing>
      </w:r>
    </w:p>
    <w:p w:rsidR="00F06B5B" w:rsidRPr="00A80284" w:rsidRDefault="00F06B5B" w:rsidP="00A80284">
      <w:pPr>
        <w:spacing w:after="0"/>
        <w:jc w:val="both"/>
        <w:rPr>
          <w:rFonts w:cstheme="minorHAnsi"/>
          <w:sz w:val="24"/>
          <w:szCs w:val="24"/>
        </w:rPr>
      </w:pPr>
      <w:r w:rsidRPr="00A80284">
        <w:rPr>
          <w:rFonts w:cstheme="minorHAnsi"/>
          <w:noProof/>
          <w:sz w:val="24"/>
          <w:szCs w:val="24"/>
        </w:rPr>
        <w:drawing>
          <wp:inline distT="0" distB="0" distL="0" distR="0" wp14:anchorId="3B810DEF" wp14:editId="610059FF">
            <wp:extent cx="6496050" cy="2752725"/>
            <wp:effectExtent l="0" t="0" r="0" b="9525"/>
            <wp:docPr id="19" name="Chart 19">
              <a:extLst xmlns:a="http://schemas.openxmlformats.org/drawingml/2006/main">
                <a:ext uri="{FF2B5EF4-FFF2-40B4-BE49-F238E27FC236}">
                  <a16:creationId xmlns:a16="http://schemas.microsoft.com/office/drawing/2014/main" id="{CA181D7E-84E3-4CA2-89B6-417B670C4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C2577" w:rsidRPr="00A80284" w:rsidRDefault="005C2577" w:rsidP="00A80284">
      <w:pPr>
        <w:spacing w:after="0"/>
        <w:jc w:val="both"/>
        <w:rPr>
          <w:rFonts w:cstheme="minorHAnsi"/>
          <w:sz w:val="24"/>
          <w:szCs w:val="24"/>
        </w:rPr>
      </w:pPr>
    </w:p>
    <w:p w:rsidR="005C2577" w:rsidRPr="00A80284" w:rsidRDefault="005C2577" w:rsidP="00A80284">
      <w:pPr>
        <w:pStyle w:val="NormalWeb"/>
        <w:shd w:val="clear" w:color="auto" w:fill="FFFFFF"/>
        <w:spacing w:before="0" w:beforeAutospacing="0" w:after="0" w:afterAutospacing="0"/>
        <w:jc w:val="both"/>
        <w:rPr>
          <w:rFonts w:asciiTheme="minorHAnsi" w:eastAsiaTheme="minorHAnsi" w:hAnsiTheme="minorHAnsi" w:cstheme="minorHAnsi"/>
        </w:rPr>
      </w:pPr>
      <w:r w:rsidRPr="00A80284">
        <w:rPr>
          <w:rFonts w:asciiTheme="minorHAnsi" w:eastAsiaTheme="minorHAnsi" w:hAnsiTheme="minorHAnsi" w:cstheme="minorHAnsi"/>
        </w:rPr>
        <w:t>NWCA also participates with MHSA data collection and evaluation for School Readiness Outcomes.  Participating with MHSA in this project provides information to showcase our efforts as well as identify areas of need.  We are able to analyze our assessment results across the state.  For example, if a classroom is showing higher or lower than average scores, we are able to compare across the state and/or do a deeper dive with our tools, classroom needs and documentation and act accordingly.</w:t>
      </w:r>
    </w:p>
    <w:p w:rsidR="0025103E" w:rsidRDefault="005C2577" w:rsidP="00A80284">
      <w:pPr>
        <w:pStyle w:val="NormalWeb"/>
        <w:shd w:val="clear" w:color="auto" w:fill="FFFFFF"/>
        <w:spacing w:before="0" w:beforeAutospacing="0" w:after="0" w:afterAutospacing="0"/>
        <w:jc w:val="both"/>
        <w:rPr>
          <w:rFonts w:asciiTheme="minorHAnsi" w:eastAsiaTheme="minorHAnsi" w:hAnsiTheme="minorHAnsi" w:cstheme="minorHAnsi"/>
        </w:rPr>
      </w:pPr>
      <w:r w:rsidRPr="00A80284">
        <w:rPr>
          <w:rFonts w:asciiTheme="minorHAnsi" w:eastAsiaTheme="minorHAnsi" w:hAnsiTheme="minorHAnsi" w:cstheme="minorHAnsi"/>
        </w:rPr>
        <w:t>CLASS Observation and HOVRS provide teachers with constructive feedback; as well as areas to focus on for training.  Requests for Conscious Discipline and Mental Health trainings are examples of requests that have resulted from observations.</w:t>
      </w:r>
    </w:p>
    <w:p w:rsidR="004F4D24" w:rsidRPr="00A80284" w:rsidRDefault="004F4D24" w:rsidP="00A80284">
      <w:pPr>
        <w:pStyle w:val="NormalWeb"/>
        <w:shd w:val="clear" w:color="auto" w:fill="FFFFFF"/>
        <w:spacing w:before="0" w:beforeAutospacing="0" w:after="0" w:afterAutospacing="0"/>
        <w:jc w:val="both"/>
        <w:rPr>
          <w:rFonts w:asciiTheme="minorHAnsi" w:eastAsiaTheme="minorHAnsi" w:hAnsiTheme="minorHAnsi" w:cstheme="minorHAnsi"/>
        </w:rPr>
      </w:pPr>
      <w:r>
        <w:rPr>
          <w:noProof/>
        </w:rPr>
        <w:drawing>
          <wp:inline distT="0" distB="0" distL="0" distR="0" wp14:anchorId="6589731C" wp14:editId="6511F374">
            <wp:extent cx="1638300" cy="202155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6222" cy="2080684"/>
                    </a:xfrm>
                    <a:prstGeom prst="rect">
                      <a:avLst/>
                    </a:prstGeom>
                    <a:noFill/>
                    <a:ln>
                      <a:noFill/>
                    </a:ln>
                  </pic:spPr>
                </pic:pic>
              </a:graphicData>
            </a:graphic>
          </wp:inline>
        </w:drawing>
      </w:r>
      <w:r w:rsidRPr="004F4D24">
        <w:t xml:space="preserve"> </w:t>
      </w:r>
      <w:r>
        <w:rPr>
          <w:noProof/>
        </w:rPr>
        <w:drawing>
          <wp:inline distT="0" distB="0" distL="0" distR="0" wp14:anchorId="7CB593C3" wp14:editId="5CF28BE3">
            <wp:extent cx="2143125" cy="198970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018" t="16476" b="25743"/>
                    <a:stretch/>
                  </pic:blipFill>
                  <pic:spPr bwMode="auto">
                    <a:xfrm>
                      <a:off x="0" y="0"/>
                      <a:ext cx="2165891" cy="2010838"/>
                    </a:xfrm>
                    <a:prstGeom prst="rect">
                      <a:avLst/>
                    </a:prstGeom>
                    <a:noFill/>
                    <a:ln>
                      <a:noFill/>
                    </a:ln>
                    <a:extLst>
                      <a:ext uri="{53640926-AAD7-44D8-BBD7-CCE9431645EC}">
                        <a14:shadowObscured xmlns:a14="http://schemas.microsoft.com/office/drawing/2010/main"/>
                      </a:ext>
                    </a:extLst>
                  </pic:spPr>
                </pic:pic>
              </a:graphicData>
            </a:graphic>
          </wp:inline>
        </w:drawing>
      </w:r>
      <w:r w:rsidRPr="004F4D24">
        <w:rPr>
          <w:noProof/>
        </w:rPr>
        <w:t xml:space="preserve"> </w:t>
      </w:r>
      <w:r>
        <w:rPr>
          <w:noProof/>
        </w:rPr>
        <w:drawing>
          <wp:inline distT="0" distB="0" distL="0" distR="0" wp14:anchorId="5FED5A9B" wp14:editId="2FB9CFAA">
            <wp:extent cx="2952750" cy="197938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6293"/>
                    <a:stretch/>
                  </pic:blipFill>
                  <pic:spPr bwMode="auto">
                    <a:xfrm>
                      <a:off x="0" y="0"/>
                      <a:ext cx="3054571" cy="2047639"/>
                    </a:xfrm>
                    <a:prstGeom prst="rect">
                      <a:avLst/>
                    </a:prstGeom>
                    <a:ln>
                      <a:noFill/>
                    </a:ln>
                    <a:extLst>
                      <a:ext uri="{53640926-AAD7-44D8-BBD7-CCE9431645EC}">
                        <a14:shadowObscured xmlns:a14="http://schemas.microsoft.com/office/drawing/2010/main"/>
                      </a:ext>
                    </a:extLst>
                  </pic:spPr>
                </pic:pic>
              </a:graphicData>
            </a:graphic>
          </wp:inline>
        </w:drawing>
      </w:r>
    </w:p>
    <w:p w:rsidR="00E84D96" w:rsidRDefault="00E84D96" w:rsidP="00A80284">
      <w:pPr>
        <w:spacing w:after="0" w:line="288" w:lineRule="auto"/>
        <w:ind w:firstLine="4"/>
        <w:jc w:val="center"/>
        <w:rPr>
          <w:rFonts w:cstheme="minorHAnsi"/>
          <w:b/>
          <w:color w:val="1589C2"/>
          <w:sz w:val="36"/>
          <w:szCs w:val="36"/>
        </w:rPr>
      </w:pPr>
    </w:p>
    <w:p w:rsidR="00AC7155" w:rsidRPr="00A80284" w:rsidRDefault="00AC7155" w:rsidP="00A80284">
      <w:pPr>
        <w:spacing w:after="0" w:line="288" w:lineRule="auto"/>
        <w:ind w:firstLine="4"/>
        <w:jc w:val="center"/>
        <w:rPr>
          <w:rFonts w:cstheme="minorHAnsi"/>
          <w:b/>
          <w:color w:val="1589C2"/>
          <w:sz w:val="36"/>
          <w:szCs w:val="36"/>
        </w:rPr>
      </w:pPr>
      <w:r w:rsidRPr="00A80284">
        <w:rPr>
          <w:rFonts w:cstheme="minorHAnsi"/>
          <w:b/>
          <w:color w:val="1589C2"/>
          <w:sz w:val="36"/>
          <w:szCs w:val="36"/>
        </w:rPr>
        <w:t>School Readiness Goals</w:t>
      </w:r>
    </w:p>
    <w:p w:rsidR="00AC7155" w:rsidRPr="00A80284" w:rsidRDefault="00AC7155" w:rsidP="00A80284">
      <w:pPr>
        <w:spacing w:after="0" w:line="288" w:lineRule="auto"/>
        <w:ind w:firstLine="4"/>
        <w:jc w:val="both"/>
        <w:rPr>
          <w:rFonts w:cstheme="minorHAnsi"/>
          <w:b/>
          <w:sz w:val="24"/>
          <w:szCs w:val="24"/>
        </w:rPr>
      </w:pPr>
      <w:r w:rsidRPr="00A80284">
        <w:rPr>
          <w:rFonts w:cstheme="minorHAnsi"/>
          <w:color w:val="222222"/>
          <w:sz w:val="24"/>
          <w:szCs w:val="24"/>
          <w:shd w:val="clear" w:color="auto" w:fill="FFFFFF"/>
        </w:rPr>
        <w:t xml:space="preserve">School readiness is foundational across early childhood systems and programs. </w:t>
      </w:r>
    </w:p>
    <w:p w:rsidR="00AC7155" w:rsidRPr="00A80284" w:rsidRDefault="00AC7155" w:rsidP="00A80284">
      <w:pPr>
        <w:pStyle w:val="ListParagraph"/>
        <w:numPr>
          <w:ilvl w:val="0"/>
          <w:numId w:val="2"/>
        </w:numPr>
        <w:spacing w:after="0" w:line="288" w:lineRule="auto"/>
        <w:jc w:val="both"/>
        <w:rPr>
          <w:rFonts w:cstheme="minorHAnsi"/>
          <w:color w:val="222222"/>
          <w:sz w:val="24"/>
          <w:szCs w:val="24"/>
          <w:shd w:val="clear" w:color="auto" w:fill="FFFFFF"/>
        </w:rPr>
      </w:pPr>
      <w:r w:rsidRPr="00A80284">
        <w:rPr>
          <w:rFonts w:cstheme="minorHAnsi"/>
          <w:color w:val="222222"/>
          <w:sz w:val="24"/>
          <w:szCs w:val="24"/>
          <w:shd w:val="clear" w:color="auto" w:fill="FFFFFF"/>
        </w:rPr>
        <w:t xml:space="preserve">It means children are ready for school, families are ready to support their children's learning, and schools are ready for children. </w:t>
      </w:r>
    </w:p>
    <w:p w:rsidR="00AC7155" w:rsidRPr="00A80284" w:rsidRDefault="00AC7155" w:rsidP="00A80284">
      <w:pPr>
        <w:pStyle w:val="ListParagraph"/>
        <w:numPr>
          <w:ilvl w:val="0"/>
          <w:numId w:val="2"/>
        </w:numPr>
        <w:spacing w:after="0" w:line="288" w:lineRule="auto"/>
        <w:jc w:val="both"/>
        <w:rPr>
          <w:rFonts w:cstheme="minorHAnsi"/>
          <w:color w:val="222222"/>
          <w:sz w:val="24"/>
          <w:szCs w:val="24"/>
          <w:shd w:val="clear" w:color="auto" w:fill="FFFFFF"/>
        </w:rPr>
      </w:pPr>
      <w:r w:rsidRPr="00A80284">
        <w:rPr>
          <w:rFonts w:cstheme="minorHAnsi"/>
          <w:color w:val="222222"/>
          <w:sz w:val="24"/>
          <w:szCs w:val="24"/>
          <w:shd w:val="clear" w:color="auto" w:fill="FFFFFF"/>
        </w:rPr>
        <w:t xml:space="preserve">Head Start views school readiness as children possessing the skills, knowledge, and attitudes necessary for success in school and for later learning and life. </w:t>
      </w:r>
    </w:p>
    <w:p w:rsidR="00AC7155" w:rsidRPr="00A80284" w:rsidRDefault="00AC7155" w:rsidP="00A80284">
      <w:pPr>
        <w:spacing w:after="0" w:line="288" w:lineRule="auto"/>
        <w:jc w:val="both"/>
        <w:rPr>
          <w:rFonts w:cstheme="minorHAnsi"/>
          <w:b/>
          <w:color w:val="1589C2"/>
          <w:sz w:val="24"/>
          <w:szCs w:val="24"/>
        </w:rPr>
      </w:pPr>
      <w:r w:rsidRPr="00A80284">
        <w:rPr>
          <w:rFonts w:cstheme="minorHAnsi"/>
          <w:b/>
          <w:color w:val="1589C2"/>
          <w:sz w:val="24"/>
          <w:szCs w:val="24"/>
        </w:rPr>
        <w:t>Physical Development and Health</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1.</w:t>
      </w:r>
      <w:r w:rsidRPr="00A80284">
        <w:rPr>
          <w:rFonts w:cstheme="minorHAnsi"/>
          <w:sz w:val="24"/>
          <w:szCs w:val="24"/>
        </w:rPr>
        <w:tab/>
        <w:t>Children will acquire and maintain a high level of physical health, including being up to date on physical and dental checkups and immunizations.</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2.</w:t>
      </w:r>
      <w:r w:rsidRPr="00A80284">
        <w:rPr>
          <w:rFonts w:cstheme="minorHAnsi"/>
          <w:sz w:val="24"/>
          <w:szCs w:val="24"/>
        </w:rPr>
        <w:tab/>
        <w:t>Children will demonstrate an increased ability to care for their own needs appropriately. They will become more independent and resourceful getting needs met.</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3. Children will demonstrate increasing control of large muscles for movement, navigation and balance consistent with their chronological and developmental level.</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4. Children will demonstrate increasing fine motor strength, coordination and agility for use in self-care, manipulation of materials and exploring their environment.</w:t>
      </w:r>
    </w:p>
    <w:p w:rsidR="00AC7155" w:rsidRPr="00A80284" w:rsidRDefault="00AC7155" w:rsidP="00A80284">
      <w:pPr>
        <w:spacing w:after="0" w:line="288" w:lineRule="auto"/>
        <w:jc w:val="both"/>
        <w:rPr>
          <w:rFonts w:cstheme="minorHAnsi"/>
          <w:b/>
          <w:color w:val="1589C2"/>
          <w:sz w:val="24"/>
          <w:szCs w:val="24"/>
        </w:rPr>
      </w:pPr>
      <w:r w:rsidRPr="00A80284">
        <w:rPr>
          <w:rFonts w:cstheme="minorHAnsi"/>
          <w:b/>
          <w:color w:val="1589C2"/>
          <w:sz w:val="24"/>
          <w:szCs w:val="24"/>
        </w:rPr>
        <w:t>Social Emotional Development</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1. Children will be able to manage feelings appropriately and self-regulate with regard to their emotions, attention span and behavior.</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2. Children will demonstrate positive, appropriate social relationships with family members, peers and other significant adults.</w:t>
      </w:r>
    </w:p>
    <w:p w:rsidR="00AC7155" w:rsidRPr="00A80284" w:rsidRDefault="00AC7155" w:rsidP="00A80284">
      <w:pPr>
        <w:spacing w:after="0" w:line="288" w:lineRule="auto"/>
        <w:jc w:val="both"/>
        <w:rPr>
          <w:rFonts w:cstheme="minorHAnsi"/>
          <w:b/>
          <w:color w:val="1589C2"/>
          <w:sz w:val="24"/>
          <w:szCs w:val="24"/>
        </w:rPr>
      </w:pPr>
      <w:r w:rsidRPr="00A80284">
        <w:rPr>
          <w:rFonts w:cstheme="minorHAnsi"/>
          <w:b/>
          <w:color w:val="1589C2"/>
          <w:sz w:val="24"/>
          <w:szCs w:val="24"/>
        </w:rPr>
        <w:t>Approaches to Learning</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1. Children will demonstrate a positive approach to learning through persistence, attentiveness, engagement and curiosity.</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2. Children will show an increasing ability to express themselves through sound, movement, visual media and role play.</w:t>
      </w:r>
    </w:p>
    <w:p w:rsidR="00AC7155" w:rsidRPr="00A80284" w:rsidRDefault="00AC7155" w:rsidP="00A80284">
      <w:pPr>
        <w:spacing w:after="0" w:line="288" w:lineRule="auto"/>
        <w:jc w:val="both"/>
        <w:rPr>
          <w:rFonts w:cstheme="minorHAnsi"/>
          <w:b/>
          <w:color w:val="1589C2"/>
          <w:sz w:val="24"/>
          <w:szCs w:val="24"/>
        </w:rPr>
      </w:pPr>
      <w:r w:rsidRPr="00A80284">
        <w:rPr>
          <w:rFonts w:cstheme="minorHAnsi"/>
          <w:b/>
          <w:color w:val="1589C2"/>
          <w:sz w:val="24"/>
          <w:szCs w:val="24"/>
        </w:rPr>
        <w:t>Language and Literacy</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1. Children will demonstrate increasing skills in comprehension and use of more complex and varying vocabulary.</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2. Children will demonstrate increasing proficiency using language to communicate needs, wants and for self-expression.</w:t>
      </w:r>
    </w:p>
    <w:p w:rsidR="00AC7155" w:rsidRPr="00A80284" w:rsidRDefault="00AC7155" w:rsidP="00A80284">
      <w:pPr>
        <w:spacing w:after="0" w:line="288" w:lineRule="auto"/>
        <w:jc w:val="both"/>
        <w:rPr>
          <w:rFonts w:cstheme="minorHAnsi"/>
          <w:b/>
          <w:color w:val="1589C2"/>
          <w:sz w:val="24"/>
          <w:szCs w:val="24"/>
        </w:rPr>
      </w:pPr>
      <w:r w:rsidRPr="00A80284">
        <w:rPr>
          <w:rFonts w:cstheme="minorHAnsi"/>
          <w:b/>
          <w:color w:val="1589C2"/>
          <w:sz w:val="24"/>
          <w:szCs w:val="24"/>
        </w:rPr>
        <w:t xml:space="preserve">Cognition and General Knowledge </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1. Children will use math skills in everyday routines as appropriate for their developmental level with increasing competency in counting, comparing, relating and problem solving.</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2. Children will engage in exploring their environment through observation, imitation, manipulation, and curiosity.</w:t>
      </w:r>
    </w:p>
    <w:p w:rsidR="00AC7155" w:rsidRPr="00A80284" w:rsidRDefault="00AC7155" w:rsidP="00A80284">
      <w:pPr>
        <w:spacing w:after="0" w:line="288" w:lineRule="auto"/>
        <w:ind w:left="1080" w:hanging="270"/>
        <w:jc w:val="both"/>
        <w:rPr>
          <w:rFonts w:cstheme="minorHAnsi"/>
          <w:sz w:val="24"/>
          <w:szCs w:val="24"/>
        </w:rPr>
      </w:pPr>
      <w:r w:rsidRPr="00A80284">
        <w:rPr>
          <w:rFonts w:cstheme="minorHAnsi"/>
          <w:sz w:val="24"/>
          <w:szCs w:val="24"/>
        </w:rPr>
        <w:t>3. Children will demonstrate use of skills to solve problems, find multiple solutions and answer questions.</w:t>
      </w:r>
    </w:p>
    <w:p w:rsidR="0025103E" w:rsidRPr="00A80284" w:rsidRDefault="0025103E" w:rsidP="00A80284">
      <w:pPr>
        <w:spacing w:after="0"/>
        <w:jc w:val="both"/>
        <w:rPr>
          <w:rFonts w:cstheme="minorHAnsi"/>
          <w:b/>
          <w:color w:val="4472C4" w:themeColor="accent1"/>
          <w:sz w:val="24"/>
          <w:szCs w:val="24"/>
        </w:rPr>
      </w:pPr>
    </w:p>
    <w:sectPr w:rsidR="0025103E" w:rsidRPr="00A80284" w:rsidSect="00E8228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12739"/>
    <w:multiLevelType w:val="hybridMultilevel"/>
    <w:tmpl w:val="E99C874E"/>
    <w:lvl w:ilvl="0" w:tplc="0409000B">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 w15:restartNumberingAfterBreak="0">
    <w:nsid w:val="60E16FC1"/>
    <w:multiLevelType w:val="hybridMultilevel"/>
    <w:tmpl w:val="3CD40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280"/>
    <w:rsid w:val="0000772A"/>
    <w:rsid w:val="00014838"/>
    <w:rsid w:val="00046CAE"/>
    <w:rsid w:val="00075E5F"/>
    <w:rsid w:val="00166B1E"/>
    <w:rsid w:val="001C154A"/>
    <w:rsid w:val="001C6451"/>
    <w:rsid w:val="0025103E"/>
    <w:rsid w:val="0035257E"/>
    <w:rsid w:val="00430204"/>
    <w:rsid w:val="00476D78"/>
    <w:rsid w:val="004929DF"/>
    <w:rsid w:val="004B718B"/>
    <w:rsid w:val="004D5643"/>
    <w:rsid w:val="004F4D24"/>
    <w:rsid w:val="00504572"/>
    <w:rsid w:val="005176DA"/>
    <w:rsid w:val="00552512"/>
    <w:rsid w:val="005B5089"/>
    <w:rsid w:val="005C2577"/>
    <w:rsid w:val="005C3604"/>
    <w:rsid w:val="006361FE"/>
    <w:rsid w:val="00726E18"/>
    <w:rsid w:val="007C06E7"/>
    <w:rsid w:val="007D05E8"/>
    <w:rsid w:val="007E0908"/>
    <w:rsid w:val="008161D6"/>
    <w:rsid w:val="008947CF"/>
    <w:rsid w:val="008C089B"/>
    <w:rsid w:val="009F7902"/>
    <w:rsid w:val="00A07D18"/>
    <w:rsid w:val="00A117C1"/>
    <w:rsid w:val="00A76301"/>
    <w:rsid w:val="00A80284"/>
    <w:rsid w:val="00AB15EC"/>
    <w:rsid w:val="00AC4976"/>
    <w:rsid w:val="00AC7155"/>
    <w:rsid w:val="00BB1323"/>
    <w:rsid w:val="00C11CDB"/>
    <w:rsid w:val="00D32402"/>
    <w:rsid w:val="00E56858"/>
    <w:rsid w:val="00E82280"/>
    <w:rsid w:val="00E84D96"/>
    <w:rsid w:val="00E8716F"/>
    <w:rsid w:val="00E90D16"/>
    <w:rsid w:val="00ED2434"/>
    <w:rsid w:val="00F03C3A"/>
    <w:rsid w:val="00F06B5B"/>
    <w:rsid w:val="00F60942"/>
    <w:rsid w:val="00FE4BEF"/>
    <w:rsid w:val="00FF63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53271"/>
  <w15:chartTrackingRefBased/>
  <w15:docId w15:val="{1A78696F-6334-49F3-979E-136D9AB7D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5">
    <w:name w:val="heading 5"/>
    <w:basedOn w:val="Normal"/>
    <w:link w:val="Heading5Char"/>
    <w:uiPriority w:val="9"/>
    <w:unhideWhenUsed/>
    <w:qFormat/>
    <w:rsid w:val="008947CF"/>
    <w:pPr>
      <w:widowControl w:val="0"/>
      <w:autoSpaceDE w:val="0"/>
      <w:autoSpaceDN w:val="0"/>
      <w:spacing w:before="87" w:after="0" w:line="240" w:lineRule="auto"/>
      <w:ind w:left="1223"/>
      <w:outlineLvl w:val="4"/>
    </w:pPr>
    <w:rPr>
      <w:rFonts w:ascii="Arial" w:eastAsia="Arial" w:hAnsi="Arial" w:cs="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8947CF"/>
    <w:rPr>
      <w:rFonts w:ascii="Arial" w:eastAsia="Arial" w:hAnsi="Arial" w:cs="Arial"/>
      <w:b/>
      <w:bCs/>
      <w:sz w:val="40"/>
      <w:szCs w:val="40"/>
    </w:rPr>
  </w:style>
  <w:style w:type="paragraph" w:styleId="BodyText">
    <w:name w:val="Body Text"/>
    <w:basedOn w:val="Normal"/>
    <w:link w:val="BodyTextChar"/>
    <w:uiPriority w:val="1"/>
    <w:qFormat/>
    <w:rsid w:val="008947CF"/>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8947CF"/>
    <w:rPr>
      <w:rFonts w:ascii="Arial" w:eastAsia="Arial" w:hAnsi="Arial" w:cs="Arial"/>
      <w:sz w:val="24"/>
      <w:szCs w:val="24"/>
    </w:rPr>
  </w:style>
  <w:style w:type="paragraph" w:styleId="ListParagraph">
    <w:name w:val="List Paragraph"/>
    <w:basedOn w:val="Normal"/>
    <w:uiPriority w:val="34"/>
    <w:qFormat/>
    <w:rsid w:val="006361FE"/>
    <w:pPr>
      <w:ind w:left="720"/>
      <w:contextualSpacing/>
    </w:pPr>
  </w:style>
  <w:style w:type="paragraph" w:customStyle="1" w:styleId="Grant">
    <w:name w:val="Grant"/>
    <w:basedOn w:val="Normal"/>
    <w:link w:val="GrantChar"/>
    <w:qFormat/>
    <w:rsid w:val="006361FE"/>
    <w:pPr>
      <w:spacing w:after="0" w:line="480" w:lineRule="auto"/>
    </w:pPr>
    <w:rPr>
      <w:rFonts w:ascii="Times New Roman" w:eastAsiaTheme="minorEastAsia" w:hAnsi="Times New Roman" w:cs="Times New Roman"/>
      <w:sz w:val="24"/>
    </w:rPr>
  </w:style>
  <w:style w:type="character" w:customStyle="1" w:styleId="GrantChar">
    <w:name w:val="Grant Char"/>
    <w:basedOn w:val="DefaultParagraphFont"/>
    <w:link w:val="Grant"/>
    <w:rsid w:val="006361FE"/>
    <w:rPr>
      <w:rFonts w:ascii="Times New Roman" w:eastAsiaTheme="minorEastAsia" w:hAnsi="Times New Roman" w:cs="Times New Roman"/>
      <w:sz w:val="24"/>
    </w:rPr>
  </w:style>
  <w:style w:type="paragraph" w:styleId="Subtitle">
    <w:name w:val="Subtitle"/>
    <w:basedOn w:val="Normal"/>
    <w:next w:val="Normal"/>
    <w:link w:val="SubtitleChar"/>
    <w:uiPriority w:val="11"/>
    <w:qFormat/>
    <w:rsid w:val="00E90D1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90D16"/>
    <w:rPr>
      <w:rFonts w:eastAsiaTheme="minorEastAsia"/>
      <w:color w:val="5A5A5A" w:themeColor="text1" w:themeTint="A5"/>
      <w:spacing w:val="15"/>
    </w:rPr>
  </w:style>
  <w:style w:type="paragraph" w:styleId="NormalWeb">
    <w:name w:val="Normal (Web)"/>
    <w:basedOn w:val="Normal"/>
    <w:uiPriority w:val="99"/>
    <w:unhideWhenUsed/>
    <w:rsid w:val="005C257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30704">
      <w:bodyDiv w:val="1"/>
      <w:marLeft w:val="0"/>
      <w:marRight w:val="0"/>
      <w:marTop w:val="0"/>
      <w:marBottom w:val="0"/>
      <w:divBdr>
        <w:top w:val="none" w:sz="0" w:space="0" w:color="auto"/>
        <w:left w:val="none" w:sz="0" w:space="0" w:color="auto"/>
        <w:bottom w:val="none" w:sz="0" w:space="0" w:color="auto"/>
        <w:right w:val="none" w:sz="0" w:space="0" w:color="auto"/>
      </w:divBdr>
    </w:div>
    <w:div w:id="304162444">
      <w:bodyDiv w:val="1"/>
      <w:marLeft w:val="0"/>
      <w:marRight w:val="0"/>
      <w:marTop w:val="0"/>
      <w:marBottom w:val="0"/>
      <w:divBdr>
        <w:top w:val="none" w:sz="0" w:space="0" w:color="auto"/>
        <w:left w:val="none" w:sz="0" w:space="0" w:color="auto"/>
        <w:bottom w:val="none" w:sz="0" w:space="0" w:color="auto"/>
        <w:right w:val="none" w:sz="0" w:space="0" w:color="auto"/>
      </w:divBdr>
    </w:div>
    <w:div w:id="523056132">
      <w:bodyDiv w:val="1"/>
      <w:marLeft w:val="0"/>
      <w:marRight w:val="0"/>
      <w:marTop w:val="0"/>
      <w:marBottom w:val="0"/>
      <w:divBdr>
        <w:top w:val="none" w:sz="0" w:space="0" w:color="auto"/>
        <w:left w:val="none" w:sz="0" w:space="0" w:color="auto"/>
        <w:bottom w:val="none" w:sz="0" w:space="0" w:color="auto"/>
        <w:right w:val="none" w:sz="0" w:space="0" w:color="auto"/>
      </w:divBdr>
    </w:div>
    <w:div w:id="1081411945">
      <w:bodyDiv w:val="1"/>
      <w:marLeft w:val="0"/>
      <w:marRight w:val="0"/>
      <w:marTop w:val="0"/>
      <w:marBottom w:val="0"/>
      <w:divBdr>
        <w:top w:val="none" w:sz="0" w:space="0" w:color="auto"/>
        <w:left w:val="none" w:sz="0" w:space="0" w:color="auto"/>
        <w:bottom w:val="none" w:sz="0" w:space="0" w:color="auto"/>
        <w:right w:val="none" w:sz="0" w:space="0" w:color="auto"/>
      </w:divBdr>
    </w:div>
    <w:div w:id="1139684214">
      <w:bodyDiv w:val="1"/>
      <w:marLeft w:val="0"/>
      <w:marRight w:val="0"/>
      <w:marTop w:val="0"/>
      <w:marBottom w:val="0"/>
      <w:divBdr>
        <w:top w:val="none" w:sz="0" w:space="0" w:color="auto"/>
        <w:left w:val="none" w:sz="0" w:space="0" w:color="auto"/>
        <w:bottom w:val="none" w:sz="0" w:space="0" w:color="auto"/>
        <w:right w:val="none" w:sz="0" w:space="0" w:color="auto"/>
      </w:divBdr>
    </w:div>
    <w:div w:id="1413968028">
      <w:bodyDiv w:val="1"/>
      <w:marLeft w:val="0"/>
      <w:marRight w:val="0"/>
      <w:marTop w:val="0"/>
      <w:marBottom w:val="0"/>
      <w:divBdr>
        <w:top w:val="none" w:sz="0" w:space="0" w:color="auto"/>
        <w:left w:val="none" w:sz="0" w:space="0" w:color="auto"/>
        <w:bottom w:val="none" w:sz="0" w:space="0" w:color="auto"/>
        <w:right w:val="none" w:sz="0" w:space="0" w:color="auto"/>
      </w:divBdr>
    </w:div>
    <w:div w:id="1541360891">
      <w:bodyDiv w:val="1"/>
      <w:marLeft w:val="0"/>
      <w:marRight w:val="0"/>
      <w:marTop w:val="0"/>
      <w:marBottom w:val="0"/>
      <w:divBdr>
        <w:top w:val="none" w:sz="0" w:space="0" w:color="auto"/>
        <w:left w:val="none" w:sz="0" w:space="0" w:color="auto"/>
        <w:bottom w:val="none" w:sz="0" w:space="0" w:color="auto"/>
        <w:right w:val="none" w:sz="0" w:space="0" w:color="auto"/>
      </w:divBdr>
    </w:div>
    <w:div w:id="1542938810">
      <w:bodyDiv w:val="1"/>
      <w:marLeft w:val="0"/>
      <w:marRight w:val="0"/>
      <w:marTop w:val="0"/>
      <w:marBottom w:val="0"/>
      <w:divBdr>
        <w:top w:val="none" w:sz="0" w:space="0" w:color="auto"/>
        <w:left w:val="none" w:sz="0" w:space="0" w:color="auto"/>
        <w:bottom w:val="none" w:sz="0" w:space="0" w:color="auto"/>
        <w:right w:val="none" w:sz="0" w:space="0" w:color="auto"/>
      </w:divBdr>
    </w:div>
    <w:div w:id="1827820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ethbud\OneDrive%20-%20Northwest%20Community%20Action\Documents\Annual%20Report\New%20folder\2022.2023%20Annual%20report%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ethbud\OneDrive%20-%20Northwest%20Community%20Action\Documents\Annual%20Report\Copy%20of%202023.2024%20draft.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solidFill>
                  <a:srgbClr val="002060"/>
                </a:solidFill>
              </a:rPr>
              <a:t>COR Summary of Approaches to Learning</a:t>
            </a:r>
          </a:p>
          <a:p>
            <a:pPr>
              <a:defRPr/>
            </a:pPr>
            <a:r>
              <a:rPr lang="en-US">
                <a:solidFill>
                  <a:srgbClr val="002060"/>
                </a:solidFill>
              </a:rPr>
              <a:t>2022-2023</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ivotFmts>
      <c:pivotFmt>
        <c:idx val="0"/>
        <c:spPr>
          <a:solidFill>
            <a:schemeClr val="accent1"/>
          </a:solidFill>
          <a:ln>
            <a:noFill/>
          </a:ln>
          <a:effectLst/>
        </c:spPr>
        <c:marker>
          <c:symbol val="diamond"/>
          <c:size val="6"/>
          <c:spPr>
            <a:solidFill>
              <a:schemeClr val="accent1"/>
            </a:solidFill>
            <a:ln w="9525">
              <a:solidFill>
                <a:schemeClr val="accent1"/>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square"/>
          <c:size val="6"/>
          <c:spPr>
            <a:solidFill>
              <a:schemeClr val="accent2"/>
            </a:solidFill>
            <a:ln w="9525">
              <a:solidFill>
                <a:schemeClr val="accent2"/>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triangle"/>
          <c:size val="6"/>
          <c:spPr>
            <a:solidFill>
              <a:schemeClr val="accent3"/>
            </a:solidFill>
            <a:ln w="9525">
              <a:solidFill>
                <a:schemeClr val="accent3"/>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x"/>
          <c:size val="6"/>
          <c:spPr>
            <a:noFill/>
            <a:ln w="9525">
              <a:solidFill>
                <a:schemeClr val="accent4"/>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star"/>
          <c:size val="6"/>
          <c:spPr>
            <a:noFill/>
            <a:ln w="9525">
              <a:solidFill>
                <a:schemeClr val="accent5"/>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circle"/>
          <c:size val="6"/>
          <c:spPr>
            <a:solidFill>
              <a:schemeClr val="accent6"/>
            </a:solidFill>
            <a:ln w="9525">
              <a:solidFill>
                <a:schemeClr val="accent6"/>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plus"/>
          <c:size val="6"/>
          <c:spPr>
            <a:noFill/>
            <a:ln w="9525">
              <a:solidFill>
                <a:schemeClr val="accent1">
                  <a:lumMod val="60000"/>
                </a:schemeClr>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dot"/>
          <c:size val="6"/>
          <c:spPr>
            <a:solidFill>
              <a:schemeClr val="accent2">
                <a:lumMod val="60000"/>
              </a:schemeClr>
            </a:solidFill>
            <a:ln w="9525">
              <a:solidFill>
                <a:schemeClr val="accent2">
                  <a:lumMod val="60000"/>
                </a:schemeClr>
              </a:solidFill>
              <a:round/>
            </a:ln>
            <a:effectLst/>
          </c:spPr>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v>Sum of Approaches to Learning</c:v>
          </c:tx>
          <c:spPr>
            <a:solidFill>
              <a:schemeClr val="accent1"/>
            </a:solidFill>
            <a:ln>
              <a:noFill/>
            </a:ln>
            <a:effectLst/>
          </c:spPr>
          <c:invertIfNegative val="0"/>
          <c:cat>
            <c:strLit>
              <c:ptCount val="3"/>
              <c:pt idx="0">
                <c:v>Fall</c:v>
              </c:pt>
              <c:pt idx="1">
                <c:v>Spring</c:v>
              </c:pt>
              <c:pt idx="2">
                <c:v>Winter</c:v>
              </c:pt>
            </c:strLit>
          </c:cat>
          <c:val>
            <c:numLit>
              <c:formatCode>General</c:formatCode>
              <c:ptCount val="3"/>
              <c:pt idx="0">
                <c:v>212</c:v>
              </c:pt>
              <c:pt idx="1">
                <c:v>342</c:v>
              </c:pt>
              <c:pt idx="2">
                <c:v>283</c:v>
              </c:pt>
            </c:numLit>
          </c:val>
          <c:extLst>
            <c:ext xmlns:c16="http://schemas.microsoft.com/office/drawing/2014/chart" uri="{C3380CC4-5D6E-409C-BE32-E72D297353CC}">
              <c16:uniqueId val="{00000000-AD4F-4393-948E-4B6088BFF0A6}"/>
            </c:ext>
          </c:extLst>
        </c:ser>
        <c:ser>
          <c:idx val="1"/>
          <c:order val="1"/>
          <c:tx>
            <c:v>Sum of Social Emotional</c:v>
          </c:tx>
          <c:spPr>
            <a:solidFill>
              <a:schemeClr val="accent2"/>
            </a:solidFill>
            <a:ln>
              <a:noFill/>
            </a:ln>
            <a:effectLst/>
          </c:spPr>
          <c:invertIfNegative val="0"/>
          <c:cat>
            <c:strLit>
              <c:ptCount val="3"/>
              <c:pt idx="0">
                <c:v>Fall</c:v>
              </c:pt>
              <c:pt idx="1">
                <c:v>Spring</c:v>
              </c:pt>
              <c:pt idx="2">
                <c:v>Winter</c:v>
              </c:pt>
            </c:strLit>
          </c:cat>
          <c:val>
            <c:numLit>
              <c:formatCode>General</c:formatCode>
              <c:ptCount val="3"/>
              <c:pt idx="0">
                <c:v>335</c:v>
              </c:pt>
              <c:pt idx="1">
                <c:v>545</c:v>
              </c:pt>
              <c:pt idx="2">
                <c:v>447</c:v>
              </c:pt>
            </c:numLit>
          </c:val>
          <c:extLst>
            <c:ext xmlns:c16="http://schemas.microsoft.com/office/drawing/2014/chart" uri="{C3380CC4-5D6E-409C-BE32-E72D297353CC}">
              <c16:uniqueId val="{00000001-AD4F-4393-948E-4B6088BFF0A6}"/>
            </c:ext>
          </c:extLst>
        </c:ser>
        <c:ser>
          <c:idx val="2"/>
          <c:order val="2"/>
          <c:tx>
            <c:v>Sum of Physical</c:v>
          </c:tx>
          <c:spPr>
            <a:solidFill>
              <a:schemeClr val="accent3"/>
            </a:solidFill>
            <a:ln>
              <a:noFill/>
            </a:ln>
            <a:effectLst/>
          </c:spPr>
          <c:invertIfNegative val="0"/>
          <c:cat>
            <c:strLit>
              <c:ptCount val="3"/>
              <c:pt idx="0">
                <c:v>Fall</c:v>
              </c:pt>
              <c:pt idx="1">
                <c:v>Spring</c:v>
              </c:pt>
              <c:pt idx="2">
                <c:v>Winter</c:v>
              </c:pt>
            </c:strLit>
          </c:cat>
          <c:val>
            <c:numLit>
              <c:formatCode>General</c:formatCode>
              <c:ptCount val="3"/>
              <c:pt idx="0">
                <c:v>230</c:v>
              </c:pt>
              <c:pt idx="1">
                <c:v>366</c:v>
              </c:pt>
              <c:pt idx="2">
                <c:v>299</c:v>
              </c:pt>
            </c:numLit>
          </c:val>
          <c:extLst>
            <c:ext xmlns:c16="http://schemas.microsoft.com/office/drawing/2014/chart" uri="{C3380CC4-5D6E-409C-BE32-E72D297353CC}">
              <c16:uniqueId val="{00000002-AD4F-4393-948E-4B6088BFF0A6}"/>
            </c:ext>
          </c:extLst>
        </c:ser>
        <c:ser>
          <c:idx val="3"/>
          <c:order val="3"/>
          <c:tx>
            <c:v>Sum of Language/Literacy</c:v>
          </c:tx>
          <c:spPr>
            <a:solidFill>
              <a:schemeClr val="accent4"/>
            </a:solidFill>
            <a:ln>
              <a:noFill/>
            </a:ln>
            <a:effectLst/>
          </c:spPr>
          <c:invertIfNegative val="0"/>
          <c:cat>
            <c:strLit>
              <c:ptCount val="3"/>
              <c:pt idx="0">
                <c:v>Fall</c:v>
              </c:pt>
              <c:pt idx="1">
                <c:v>Spring</c:v>
              </c:pt>
              <c:pt idx="2">
                <c:v>Winter</c:v>
              </c:pt>
            </c:strLit>
          </c:cat>
          <c:val>
            <c:numLit>
              <c:formatCode>General</c:formatCode>
              <c:ptCount val="3"/>
              <c:pt idx="0">
                <c:v>433</c:v>
              </c:pt>
              <c:pt idx="1">
                <c:v>730</c:v>
              </c:pt>
              <c:pt idx="2">
                <c:v>596</c:v>
              </c:pt>
            </c:numLit>
          </c:val>
          <c:extLst>
            <c:ext xmlns:c16="http://schemas.microsoft.com/office/drawing/2014/chart" uri="{C3380CC4-5D6E-409C-BE32-E72D297353CC}">
              <c16:uniqueId val="{00000003-AD4F-4393-948E-4B6088BFF0A6}"/>
            </c:ext>
          </c:extLst>
        </c:ser>
        <c:ser>
          <c:idx val="4"/>
          <c:order val="4"/>
          <c:tx>
            <c:v>Sum of Math</c:v>
          </c:tx>
          <c:spPr>
            <a:solidFill>
              <a:schemeClr val="accent5"/>
            </a:solidFill>
            <a:ln>
              <a:noFill/>
            </a:ln>
            <a:effectLst/>
          </c:spPr>
          <c:invertIfNegative val="0"/>
          <c:cat>
            <c:strLit>
              <c:ptCount val="3"/>
              <c:pt idx="0">
                <c:v>Fall</c:v>
              </c:pt>
              <c:pt idx="1">
                <c:v>Spring</c:v>
              </c:pt>
              <c:pt idx="2">
                <c:v>Winter</c:v>
              </c:pt>
            </c:strLit>
          </c:cat>
          <c:val>
            <c:numLit>
              <c:formatCode>General</c:formatCode>
              <c:ptCount val="3"/>
              <c:pt idx="0">
                <c:v>310</c:v>
              </c:pt>
              <c:pt idx="1">
                <c:v>523</c:v>
              </c:pt>
              <c:pt idx="2">
                <c:v>412</c:v>
              </c:pt>
            </c:numLit>
          </c:val>
          <c:extLst>
            <c:ext xmlns:c16="http://schemas.microsoft.com/office/drawing/2014/chart" uri="{C3380CC4-5D6E-409C-BE32-E72D297353CC}">
              <c16:uniqueId val="{00000004-AD4F-4393-948E-4B6088BFF0A6}"/>
            </c:ext>
          </c:extLst>
        </c:ser>
        <c:ser>
          <c:idx val="5"/>
          <c:order val="5"/>
          <c:tx>
            <c:v>Sum of Art</c:v>
          </c:tx>
          <c:spPr>
            <a:solidFill>
              <a:schemeClr val="accent6"/>
            </a:solidFill>
            <a:ln>
              <a:noFill/>
            </a:ln>
            <a:effectLst/>
          </c:spPr>
          <c:invertIfNegative val="0"/>
          <c:cat>
            <c:strLit>
              <c:ptCount val="3"/>
              <c:pt idx="0">
                <c:v>Fall</c:v>
              </c:pt>
              <c:pt idx="1">
                <c:v>Spring</c:v>
              </c:pt>
              <c:pt idx="2">
                <c:v>Winter</c:v>
              </c:pt>
            </c:strLit>
          </c:cat>
          <c:val>
            <c:numLit>
              <c:formatCode>General</c:formatCode>
              <c:ptCount val="3"/>
              <c:pt idx="0">
                <c:v>279</c:v>
              </c:pt>
              <c:pt idx="1">
                <c:v>429</c:v>
              </c:pt>
              <c:pt idx="2">
                <c:v>363</c:v>
              </c:pt>
            </c:numLit>
          </c:val>
          <c:extLst>
            <c:ext xmlns:c16="http://schemas.microsoft.com/office/drawing/2014/chart" uri="{C3380CC4-5D6E-409C-BE32-E72D297353CC}">
              <c16:uniqueId val="{00000005-AD4F-4393-948E-4B6088BFF0A6}"/>
            </c:ext>
          </c:extLst>
        </c:ser>
        <c:ser>
          <c:idx val="6"/>
          <c:order val="6"/>
          <c:tx>
            <c:v>Sum of Science</c:v>
          </c:tx>
          <c:spPr>
            <a:solidFill>
              <a:schemeClr val="accent1">
                <a:lumMod val="60000"/>
              </a:schemeClr>
            </a:solidFill>
            <a:ln>
              <a:noFill/>
            </a:ln>
            <a:effectLst/>
          </c:spPr>
          <c:invertIfNegative val="0"/>
          <c:cat>
            <c:strLit>
              <c:ptCount val="3"/>
              <c:pt idx="0">
                <c:v>Fall</c:v>
              </c:pt>
              <c:pt idx="1">
                <c:v>Spring</c:v>
              </c:pt>
              <c:pt idx="2">
                <c:v>Winter</c:v>
              </c:pt>
            </c:strLit>
          </c:cat>
          <c:val>
            <c:numLit>
              <c:formatCode>General</c:formatCode>
              <c:ptCount val="3"/>
              <c:pt idx="0">
                <c:v>289</c:v>
              </c:pt>
              <c:pt idx="1">
                <c:v>450</c:v>
              </c:pt>
              <c:pt idx="2">
                <c:v>381</c:v>
              </c:pt>
            </c:numLit>
          </c:val>
          <c:extLst>
            <c:ext xmlns:c16="http://schemas.microsoft.com/office/drawing/2014/chart" uri="{C3380CC4-5D6E-409C-BE32-E72D297353CC}">
              <c16:uniqueId val="{00000006-AD4F-4393-948E-4B6088BFF0A6}"/>
            </c:ext>
          </c:extLst>
        </c:ser>
        <c:ser>
          <c:idx val="7"/>
          <c:order val="7"/>
          <c:tx>
            <c:v>Sum of Social Studies</c:v>
          </c:tx>
          <c:spPr>
            <a:solidFill>
              <a:schemeClr val="accent2">
                <a:lumMod val="60000"/>
              </a:schemeClr>
            </a:solidFill>
            <a:ln>
              <a:noFill/>
            </a:ln>
            <a:effectLst/>
          </c:spPr>
          <c:invertIfNegative val="0"/>
          <c:cat>
            <c:strLit>
              <c:ptCount val="3"/>
              <c:pt idx="0">
                <c:v>Fall</c:v>
              </c:pt>
              <c:pt idx="1">
                <c:v>Spring</c:v>
              </c:pt>
              <c:pt idx="2">
                <c:v>Winter</c:v>
              </c:pt>
            </c:strLit>
          </c:cat>
          <c:val>
            <c:numLit>
              <c:formatCode>General</c:formatCode>
              <c:ptCount val="3"/>
              <c:pt idx="0">
                <c:v>206</c:v>
              </c:pt>
              <c:pt idx="1">
                <c:v>319</c:v>
              </c:pt>
              <c:pt idx="2">
                <c:v>265</c:v>
              </c:pt>
            </c:numLit>
          </c:val>
          <c:extLst>
            <c:ext xmlns:c16="http://schemas.microsoft.com/office/drawing/2014/chart" uri="{C3380CC4-5D6E-409C-BE32-E72D297353CC}">
              <c16:uniqueId val="{00000007-AD4F-4393-948E-4B6088BFF0A6}"/>
            </c:ext>
          </c:extLst>
        </c:ser>
        <c:dLbls>
          <c:showLegendKey val="0"/>
          <c:showVal val="0"/>
          <c:showCatName val="0"/>
          <c:showSerName val="0"/>
          <c:showPercent val="0"/>
          <c:showBubbleSize val="0"/>
        </c:dLbls>
        <c:gapWidth val="444"/>
        <c:axId val="122730560"/>
        <c:axId val="1529701616"/>
      </c:barChart>
      <c:catAx>
        <c:axId val="12273056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529701616"/>
        <c:crosses val="autoZero"/>
        <c:auto val="1"/>
        <c:lblAlgn val="ctr"/>
        <c:lblOffset val="100"/>
        <c:noMultiLvlLbl val="0"/>
      </c:catAx>
      <c:valAx>
        <c:axId val="1529701616"/>
        <c:scaling>
          <c:orientation val="minMax"/>
        </c:scaling>
        <c:delete val="1"/>
        <c:axPos val="l"/>
        <c:title>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22730560"/>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solidFill>
                  <a:srgbClr val="002060"/>
                </a:solidFill>
              </a:rPr>
              <a:t>Head Start</a:t>
            </a:r>
          </a:p>
          <a:p>
            <a:pPr>
              <a:defRPr/>
            </a:pPr>
            <a:r>
              <a:rPr lang="en-US">
                <a:solidFill>
                  <a:srgbClr val="002060"/>
                </a:solidFill>
              </a:rPr>
              <a:t>Teaching Strategies</a:t>
            </a:r>
          </a:p>
          <a:p>
            <a:pPr>
              <a:defRPr/>
            </a:pPr>
            <a:r>
              <a:rPr lang="en-US">
                <a:solidFill>
                  <a:srgbClr val="002060"/>
                </a:solidFill>
              </a:rPr>
              <a:t>2022-2023</a:t>
            </a:r>
          </a:p>
        </c:rich>
      </c:tx>
      <c:layout>
        <c:manualLayout>
          <c:xMode val="edge"/>
          <c:yMode val="edge"/>
          <c:x val="0.40232744309964047"/>
          <c:y val="5.686273294219090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'C:\Users\bethbud\AppData\Local\Microsoft\Windows\INetCache\Content.Outlook\O8OY1W73\[NEW 2023.2024 draft.xlsx]HS Teaching Strategies Data'!$C$2</c:f>
              <c:strCache>
                <c:ptCount val="1"/>
                <c:pt idx="0">
                  <c:v>Below</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'[2]HS Teaching Strategies Data'!$A$3:$B$20</c:f>
              <c:multiLvlStrCache>
                <c:ptCount val="18"/>
                <c:lvl>
                  <c:pt idx="0">
                    <c:v>Social Emotional</c:v>
                  </c:pt>
                  <c:pt idx="1">
                    <c:v>Physical</c:v>
                  </c:pt>
                  <c:pt idx="2">
                    <c:v>Language</c:v>
                  </c:pt>
                  <c:pt idx="3">
                    <c:v>Cognitive</c:v>
                  </c:pt>
                  <c:pt idx="4">
                    <c:v>Literacy</c:v>
                  </c:pt>
                  <c:pt idx="5">
                    <c:v>Mathmatics</c:v>
                  </c:pt>
                  <c:pt idx="6">
                    <c:v>Social Emotional</c:v>
                  </c:pt>
                  <c:pt idx="7">
                    <c:v>Physical</c:v>
                  </c:pt>
                  <c:pt idx="8">
                    <c:v>Language</c:v>
                  </c:pt>
                  <c:pt idx="9">
                    <c:v>Cognitive</c:v>
                  </c:pt>
                  <c:pt idx="10">
                    <c:v>Literacy</c:v>
                  </c:pt>
                  <c:pt idx="11">
                    <c:v>Mathmatics</c:v>
                  </c:pt>
                  <c:pt idx="12">
                    <c:v>Social Emotional</c:v>
                  </c:pt>
                  <c:pt idx="13">
                    <c:v>Physical</c:v>
                  </c:pt>
                  <c:pt idx="14">
                    <c:v>Language</c:v>
                  </c:pt>
                  <c:pt idx="15">
                    <c:v>Cognitive</c:v>
                  </c:pt>
                  <c:pt idx="16">
                    <c:v>Literacy</c:v>
                  </c:pt>
                  <c:pt idx="17">
                    <c:v>Mathmatics</c:v>
                  </c:pt>
                </c:lvl>
                <c:lvl>
                  <c:pt idx="0">
                    <c:v>Fall</c:v>
                  </c:pt>
                  <c:pt idx="6">
                    <c:v>Winter</c:v>
                  </c:pt>
                  <c:pt idx="12">
                    <c:v>Spring</c:v>
                  </c:pt>
                </c:lvl>
              </c:multiLvlStrCache>
            </c:multiLvlStrRef>
          </c:cat>
          <c:val>
            <c:numRef>
              <c:f>'[2]HS Teaching Strategies Data'!$C$3:$C$20</c:f>
              <c:numCache>
                <c:formatCode>General</c:formatCode>
                <c:ptCount val="18"/>
                <c:pt idx="0">
                  <c:v>61</c:v>
                </c:pt>
                <c:pt idx="1">
                  <c:v>42</c:v>
                </c:pt>
                <c:pt idx="2">
                  <c:v>45</c:v>
                </c:pt>
                <c:pt idx="3">
                  <c:v>51</c:v>
                </c:pt>
                <c:pt idx="4">
                  <c:v>51</c:v>
                </c:pt>
                <c:pt idx="5">
                  <c:v>53</c:v>
                </c:pt>
                <c:pt idx="6">
                  <c:v>23</c:v>
                </c:pt>
                <c:pt idx="7">
                  <c:v>25</c:v>
                </c:pt>
                <c:pt idx="8">
                  <c:v>25</c:v>
                </c:pt>
                <c:pt idx="9">
                  <c:v>21</c:v>
                </c:pt>
                <c:pt idx="10">
                  <c:v>20</c:v>
                </c:pt>
                <c:pt idx="11">
                  <c:v>22</c:v>
                </c:pt>
                <c:pt idx="12">
                  <c:v>18</c:v>
                </c:pt>
                <c:pt idx="13">
                  <c:v>8</c:v>
                </c:pt>
                <c:pt idx="14">
                  <c:v>15</c:v>
                </c:pt>
                <c:pt idx="15">
                  <c:v>12</c:v>
                </c:pt>
                <c:pt idx="16">
                  <c:v>12</c:v>
                </c:pt>
                <c:pt idx="17">
                  <c:v>11</c:v>
                </c:pt>
              </c:numCache>
            </c:numRef>
          </c:val>
          <c:extLst>
            <c:ext xmlns:c16="http://schemas.microsoft.com/office/drawing/2014/chart" uri="{C3380CC4-5D6E-409C-BE32-E72D297353CC}">
              <c16:uniqueId val="{00000000-5800-47F4-B0E9-D394976F68D2}"/>
            </c:ext>
          </c:extLst>
        </c:ser>
        <c:ser>
          <c:idx val="1"/>
          <c:order val="1"/>
          <c:tx>
            <c:strRef>
              <c:f>'C:\Users\bethbud\AppData\Local\Microsoft\Windows\INetCache\Content.Outlook\O8OY1W73\[NEW 2023.2024 draft.xlsx]HS Teaching Strategies Data'!$D$2</c:f>
              <c:strCache>
                <c:ptCount val="1"/>
                <c:pt idx="0">
                  <c:v>Meeting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'[2]HS Teaching Strategies Data'!$A$3:$B$20</c:f>
              <c:multiLvlStrCache>
                <c:ptCount val="18"/>
                <c:lvl>
                  <c:pt idx="0">
                    <c:v>Social Emotional</c:v>
                  </c:pt>
                  <c:pt idx="1">
                    <c:v>Physical</c:v>
                  </c:pt>
                  <c:pt idx="2">
                    <c:v>Language</c:v>
                  </c:pt>
                  <c:pt idx="3">
                    <c:v>Cognitive</c:v>
                  </c:pt>
                  <c:pt idx="4">
                    <c:v>Literacy</c:v>
                  </c:pt>
                  <c:pt idx="5">
                    <c:v>Mathmatics</c:v>
                  </c:pt>
                  <c:pt idx="6">
                    <c:v>Social Emotional</c:v>
                  </c:pt>
                  <c:pt idx="7">
                    <c:v>Physical</c:v>
                  </c:pt>
                  <c:pt idx="8">
                    <c:v>Language</c:v>
                  </c:pt>
                  <c:pt idx="9">
                    <c:v>Cognitive</c:v>
                  </c:pt>
                  <c:pt idx="10">
                    <c:v>Literacy</c:v>
                  </c:pt>
                  <c:pt idx="11">
                    <c:v>Mathmatics</c:v>
                  </c:pt>
                  <c:pt idx="12">
                    <c:v>Social Emotional</c:v>
                  </c:pt>
                  <c:pt idx="13">
                    <c:v>Physical</c:v>
                  </c:pt>
                  <c:pt idx="14">
                    <c:v>Language</c:v>
                  </c:pt>
                  <c:pt idx="15">
                    <c:v>Cognitive</c:v>
                  </c:pt>
                  <c:pt idx="16">
                    <c:v>Literacy</c:v>
                  </c:pt>
                  <c:pt idx="17">
                    <c:v>Mathmatics</c:v>
                  </c:pt>
                </c:lvl>
                <c:lvl>
                  <c:pt idx="0">
                    <c:v>Fall</c:v>
                  </c:pt>
                  <c:pt idx="6">
                    <c:v>Winter</c:v>
                  </c:pt>
                  <c:pt idx="12">
                    <c:v>Spring</c:v>
                  </c:pt>
                </c:lvl>
              </c:multiLvlStrCache>
            </c:multiLvlStrRef>
          </c:cat>
          <c:val>
            <c:numRef>
              <c:f>'[2]HS Teaching Strategies Data'!$D$3:$D$20</c:f>
              <c:numCache>
                <c:formatCode>General</c:formatCode>
                <c:ptCount val="18"/>
                <c:pt idx="0">
                  <c:v>60</c:v>
                </c:pt>
                <c:pt idx="1">
                  <c:v>84</c:v>
                </c:pt>
                <c:pt idx="2">
                  <c:v>76</c:v>
                </c:pt>
                <c:pt idx="3">
                  <c:v>74</c:v>
                </c:pt>
                <c:pt idx="4">
                  <c:v>77</c:v>
                </c:pt>
                <c:pt idx="5">
                  <c:v>72</c:v>
                </c:pt>
                <c:pt idx="6">
                  <c:v>96</c:v>
                </c:pt>
                <c:pt idx="7">
                  <c:v>102</c:v>
                </c:pt>
                <c:pt idx="8">
                  <c:v>93</c:v>
                </c:pt>
                <c:pt idx="9">
                  <c:v>107</c:v>
                </c:pt>
                <c:pt idx="10">
                  <c:v>101</c:v>
                </c:pt>
                <c:pt idx="11">
                  <c:v>97</c:v>
                </c:pt>
                <c:pt idx="12">
                  <c:v>97</c:v>
                </c:pt>
                <c:pt idx="13">
                  <c:v>111</c:v>
                </c:pt>
                <c:pt idx="14">
                  <c:v>106</c:v>
                </c:pt>
                <c:pt idx="15">
                  <c:v>105</c:v>
                </c:pt>
                <c:pt idx="16">
                  <c:v>97</c:v>
                </c:pt>
                <c:pt idx="17">
                  <c:v>88</c:v>
                </c:pt>
              </c:numCache>
            </c:numRef>
          </c:val>
          <c:extLst>
            <c:ext xmlns:c16="http://schemas.microsoft.com/office/drawing/2014/chart" uri="{C3380CC4-5D6E-409C-BE32-E72D297353CC}">
              <c16:uniqueId val="{00000001-5800-47F4-B0E9-D394976F68D2}"/>
            </c:ext>
          </c:extLst>
        </c:ser>
        <c:ser>
          <c:idx val="2"/>
          <c:order val="2"/>
          <c:tx>
            <c:strRef>
              <c:f>'C:\Users\bethbud\AppData\Local\Microsoft\Windows\INetCache\Content.Outlook\O8OY1W73\[NEW 2023.2024 draft.xlsx]HS Teaching Strategies Data'!$E$2</c:f>
              <c:strCache>
                <c:ptCount val="1"/>
                <c:pt idx="0">
                  <c:v>Exceeding</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multiLvlStrRef>
              <c:f>'[2]HS Teaching Strategies Data'!$A$3:$B$20</c:f>
              <c:multiLvlStrCache>
                <c:ptCount val="18"/>
                <c:lvl>
                  <c:pt idx="0">
                    <c:v>Social Emotional</c:v>
                  </c:pt>
                  <c:pt idx="1">
                    <c:v>Physical</c:v>
                  </c:pt>
                  <c:pt idx="2">
                    <c:v>Language</c:v>
                  </c:pt>
                  <c:pt idx="3">
                    <c:v>Cognitive</c:v>
                  </c:pt>
                  <c:pt idx="4">
                    <c:v>Literacy</c:v>
                  </c:pt>
                  <c:pt idx="5">
                    <c:v>Mathmatics</c:v>
                  </c:pt>
                  <c:pt idx="6">
                    <c:v>Social Emotional</c:v>
                  </c:pt>
                  <c:pt idx="7">
                    <c:v>Physical</c:v>
                  </c:pt>
                  <c:pt idx="8">
                    <c:v>Language</c:v>
                  </c:pt>
                  <c:pt idx="9">
                    <c:v>Cognitive</c:v>
                  </c:pt>
                  <c:pt idx="10">
                    <c:v>Literacy</c:v>
                  </c:pt>
                  <c:pt idx="11">
                    <c:v>Mathmatics</c:v>
                  </c:pt>
                  <c:pt idx="12">
                    <c:v>Social Emotional</c:v>
                  </c:pt>
                  <c:pt idx="13">
                    <c:v>Physical</c:v>
                  </c:pt>
                  <c:pt idx="14">
                    <c:v>Language</c:v>
                  </c:pt>
                  <c:pt idx="15">
                    <c:v>Cognitive</c:v>
                  </c:pt>
                  <c:pt idx="16">
                    <c:v>Literacy</c:v>
                  </c:pt>
                  <c:pt idx="17">
                    <c:v>Mathmatics</c:v>
                  </c:pt>
                </c:lvl>
                <c:lvl>
                  <c:pt idx="0">
                    <c:v>Fall</c:v>
                  </c:pt>
                  <c:pt idx="6">
                    <c:v>Winter</c:v>
                  </c:pt>
                  <c:pt idx="12">
                    <c:v>Spring</c:v>
                  </c:pt>
                </c:lvl>
              </c:multiLvlStrCache>
            </c:multiLvlStrRef>
          </c:cat>
          <c:val>
            <c:numRef>
              <c:f>'[2]HS Teaching Strategies Data'!$E$3:$E$20</c:f>
              <c:numCache>
                <c:formatCode>General</c:formatCode>
                <c:ptCount val="18"/>
                <c:pt idx="0">
                  <c:v>16</c:v>
                </c:pt>
                <c:pt idx="1">
                  <c:v>11</c:v>
                </c:pt>
                <c:pt idx="2">
                  <c:v>16</c:v>
                </c:pt>
                <c:pt idx="3">
                  <c:v>14</c:v>
                </c:pt>
                <c:pt idx="4">
                  <c:v>9</c:v>
                </c:pt>
                <c:pt idx="5">
                  <c:v>12</c:v>
                </c:pt>
                <c:pt idx="6">
                  <c:v>22</c:v>
                </c:pt>
                <c:pt idx="7">
                  <c:v>14</c:v>
                </c:pt>
                <c:pt idx="8">
                  <c:v>23</c:v>
                </c:pt>
                <c:pt idx="9">
                  <c:v>14</c:v>
                </c:pt>
                <c:pt idx="10">
                  <c:v>16</c:v>
                </c:pt>
                <c:pt idx="11">
                  <c:v>20</c:v>
                </c:pt>
                <c:pt idx="12">
                  <c:v>29</c:v>
                </c:pt>
                <c:pt idx="13">
                  <c:v>25</c:v>
                </c:pt>
                <c:pt idx="14">
                  <c:v>23</c:v>
                </c:pt>
                <c:pt idx="15">
                  <c:v>28</c:v>
                </c:pt>
                <c:pt idx="16">
                  <c:v>35</c:v>
                </c:pt>
                <c:pt idx="17">
                  <c:v>46</c:v>
                </c:pt>
              </c:numCache>
            </c:numRef>
          </c:val>
          <c:extLst>
            <c:ext xmlns:c16="http://schemas.microsoft.com/office/drawing/2014/chart" uri="{C3380CC4-5D6E-409C-BE32-E72D297353CC}">
              <c16:uniqueId val="{00000002-5800-47F4-B0E9-D394976F68D2}"/>
            </c:ext>
          </c:extLst>
        </c:ser>
        <c:dLbls>
          <c:showLegendKey val="0"/>
          <c:showVal val="0"/>
          <c:showCatName val="0"/>
          <c:showSerName val="0"/>
          <c:showPercent val="0"/>
          <c:showBubbleSize val="0"/>
        </c:dLbls>
        <c:gapWidth val="100"/>
        <c:overlap val="-24"/>
        <c:axId val="1398894287"/>
        <c:axId val="1533550431"/>
      </c:barChart>
      <c:catAx>
        <c:axId val="139889428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3550431"/>
        <c:crosses val="autoZero"/>
        <c:auto val="1"/>
        <c:lblAlgn val="ctr"/>
        <c:lblOffset val="100"/>
        <c:noMultiLvlLbl val="0"/>
      </c:catAx>
      <c:valAx>
        <c:axId val="1533550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894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8a6b339-7073-4070-b29c-e34f5926998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4B0F9B3ACFAB44CBCF996293794FADA" ma:contentTypeVersion="18" ma:contentTypeDescription="Create a new document." ma:contentTypeScope="" ma:versionID="854f042fa48236c72982e46807535ddb">
  <xsd:schema xmlns:xsd="http://www.w3.org/2001/XMLSchema" xmlns:xs="http://www.w3.org/2001/XMLSchema" xmlns:p="http://schemas.microsoft.com/office/2006/metadata/properties" xmlns:ns3="b8a6b339-7073-4070-b29c-e34f59269980" xmlns:ns4="e772117d-d2fb-4815-a2ee-013e288b2f3b" targetNamespace="http://schemas.microsoft.com/office/2006/metadata/properties" ma:root="true" ma:fieldsID="de989f04b90f3b7597149369237c12bc" ns3:_="" ns4:_="">
    <xsd:import namespace="b8a6b339-7073-4070-b29c-e34f59269980"/>
    <xsd:import namespace="e772117d-d2fb-4815-a2ee-013e288b2f3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6b339-7073-4070-b29c-e34f592699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72117d-d2fb-4815-a2ee-013e288b2f3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401FA-C7BA-4928-8EC9-30A61E5D313A}">
  <ds:schemaRefs>
    <ds:schemaRef ds:uri="http://schemas.microsoft.com/sharepoint/v3/contenttype/forms"/>
  </ds:schemaRefs>
</ds:datastoreItem>
</file>

<file path=customXml/itemProps2.xml><?xml version="1.0" encoding="utf-8"?>
<ds:datastoreItem xmlns:ds="http://schemas.openxmlformats.org/officeDocument/2006/customXml" ds:itemID="{7F6C3A6B-6FD5-4041-81EA-BE55B27BB5B9}">
  <ds:schemaRefs>
    <ds:schemaRef ds:uri="http://schemas.microsoft.com/office/2006/metadata/properties"/>
    <ds:schemaRef ds:uri="http://schemas.microsoft.com/office/infopath/2007/PartnerControls"/>
    <ds:schemaRef ds:uri="b8a6b339-7073-4070-b29c-e34f59269980"/>
  </ds:schemaRefs>
</ds:datastoreItem>
</file>

<file path=customXml/itemProps3.xml><?xml version="1.0" encoding="utf-8"?>
<ds:datastoreItem xmlns:ds="http://schemas.openxmlformats.org/officeDocument/2006/customXml" ds:itemID="{D43DE820-6453-4DD7-AB51-7E99AD9A1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6b339-7073-4070-b29c-e34f59269980"/>
    <ds:schemaRef ds:uri="e772117d-d2fb-4815-a2ee-013e288b2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632DFC-5E1F-4F77-A4C1-E2562B677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1365</Words>
  <Characters>7783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J. Budziszewski</dc:creator>
  <cp:keywords/>
  <dc:description/>
  <cp:lastModifiedBy>Beth J. Budziszewski</cp:lastModifiedBy>
  <cp:revision>3</cp:revision>
  <cp:lastPrinted>2024-04-26T20:11:00Z</cp:lastPrinted>
  <dcterms:created xsi:type="dcterms:W3CDTF">2024-04-04T16:58:00Z</dcterms:created>
  <dcterms:modified xsi:type="dcterms:W3CDTF">2024-04-26T20:11:00Z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0x01010084B0F9B3ACFAB44CBCF996293794FADA</vt:lpwstr>
  </property>
</Properties>
</file>